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FAD" w:rsidRPr="00AF0839" w:rsidRDefault="00314FAD" w:rsidP="00AF0839">
      <w:pPr>
        <w:spacing w:before="0" w:after="0"/>
        <w:jc w:val="both"/>
        <w:rPr>
          <w:rFonts w:ascii="Calibri" w:hAnsi="Calibri"/>
          <w:sz w:val="24"/>
          <w:lang w:val="sl-SI"/>
        </w:rPr>
      </w:pPr>
    </w:p>
    <w:p w:rsidR="00314FAD" w:rsidRPr="004E32B1" w:rsidRDefault="00314FAD" w:rsidP="004E32B1">
      <w:pPr>
        <w:suppressAutoHyphens w:val="0"/>
        <w:spacing w:before="0" w:after="0"/>
        <w:jc w:val="right"/>
        <w:rPr>
          <w:rFonts w:ascii="Calibri" w:hAnsi="Calibri" w:cs="Arial"/>
          <w:kern w:val="0"/>
          <w:sz w:val="22"/>
          <w:szCs w:val="22"/>
          <w:lang w:val="sl-SI" w:eastAsia="en-US" w:bidi="ar-SA"/>
        </w:rPr>
      </w:pPr>
      <w:r w:rsidRPr="004E32B1">
        <w:rPr>
          <w:rFonts w:ascii="Calibri" w:hAnsi="Calibri" w:cs="Arial"/>
          <w:kern w:val="0"/>
          <w:sz w:val="22"/>
          <w:szCs w:val="22"/>
          <w:lang w:val="sl-SI" w:eastAsia="en-US" w:bidi="ar-SA"/>
        </w:rPr>
        <w:t>Ljubljana, 1</w:t>
      </w:r>
      <w:r>
        <w:rPr>
          <w:rFonts w:ascii="Calibri" w:hAnsi="Calibri" w:cs="Arial"/>
          <w:kern w:val="0"/>
          <w:sz w:val="22"/>
          <w:szCs w:val="22"/>
          <w:lang w:val="sl-SI" w:eastAsia="en-US" w:bidi="ar-SA"/>
        </w:rPr>
        <w:t>6</w:t>
      </w:r>
      <w:r w:rsidRPr="004E32B1">
        <w:rPr>
          <w:rFonts w:ascii="Calibri" w:hAnsi="Calibri" w:cs="Arial"/>
          <w:kern w:val="0"/>
          <w:sz w:val="22"/>
          <w:szCs w:val="22"/>
          <w:lang w:val="sl-SI" w:eastAsia="en-US" w:bidi="ar-SA"/>
        </w:rPr>
        <w:t>. december 2014</w:t>
      </w:r>
    </w:p>
    <w:p w:rsidR="00314FAD" w:rsidRPr="004E32B1" w:rsidRDefault="00314FAD" w:rsidP="004E32B1">
      <w:pPr>
        <w:suppressAutoHyphens w:val="0"/>
        <w:spacing w:before="0" w:after="0"/>
        <w:jc w:val="both"/>
        <w:rPr>
          <w:rFonts w:ascii="Calibri" w:hAnsi="Calibri" w:cs="Arial"/>
          <w:kern w:val="0"/>
          <w:sz w:val="22"/>
          <w:szCs w:val="22"/>
          <w:lang w:val="sl-SI" w:eastAsia="en-US" w:bidi="ar-SA"/>
        </w:rPr>
      </w:pPr>
    </w:p>
    <w:p w:rsidR="00314FAD" w:rsidRPr="002F3386" w:rsidRDefault="00314FAD" w:rsidP="00965B29">
      <w:pPr>
        <w:widowControl/>
        <w:suppressAutoHyphens w:val="0"/>
        <w:spacing w:before="0" w:after="0" w:line="240" w:lineRule="atLeast"/>
        <w:rPr>
          <w:rFonts w:ascii="Calibri" w:hAnsi="Calibri" w:cs="Arial"/>
          <w:b/>
          <w:color w:val="70AD47"/>
          <w:kern w:val="0"/>
          <w:sz w:val="40"/>
          <w:szCs w:val="40"/>
          <w:lang w:val="sl-SI" w:eastAsia="en-US" w:bidi="ar-SA"/>
        </w:rPr>
      </w:pPr>
      <w:r w:rsidRPr="004E32B1">
        <w:rPr>
          <w:rFonts w:ascii="Calibri" w:hAnsi="Calibri" w:cs="Arial"/>
          <w:b/>
          <w:color w:val="70AD47"/>
          <w:kern w:val="0"/>
          <w:sz w:val="40"/>
          <w:szCs w:val="40"/>
          <w:lang w:val="sl-SI" w:eastAsia="en-US" w:bidi="ar-SA"/>
        </w:rPr>
        <w:t xml:space="preserve">Stališče </w:t>
      </w:r>
      <w:r w:rsidRPr="002F3386">
        <w:rPr>
          <w:rFonts w:ascii="Calibri" w:hAnsi="Calibri" w:cs="Arial"/>
          <w:b/>
          <w:color w:val="70AD47"/>
          <w:kern w:val="0"/>
          <w:sz w:val="40"/>
          <w:szCs w:val="40"/>
          <w:lang w:val="sl-SI" w:eastAsia="en-US" w:bidi="ar-SA"/>
        </w:rPr>
        <w:t xml:space="preserve">GZS </w:t>
      </w:r>
    </w:p>
    <w:p w:rsidR="00314FAD" w:rsidRPr="00BD6437" w:rsidRDefault="00314FAD" w:rsidP="00BD6437">
      <w:pPr>
        <w:suppressAutoHyphens w:val="0"/>
        <w:spacing w:before="0" w:after="0"/>
        <w:jc w:val="both"/>
        <w:rPr>
          <w:rFonts w:ascii="Calibri" w:hAnsi="Calibri" w:cs="Arial"/>
          <w:kern w:val="0"/>
          <w:sz w:val="22"/>
          <w:szCs w:val="22"/>
          <w:lang w:val="sl-SI" w:eastAsia="en-US" w:bidi="ar-SA"/>
        </w:rPr>
      </w:pPr>
      <w:r w:rsidRPr="00BD6437">
        <w:rPr>
          <w:rFonts w:ascii="Calibri" w:hAnsi="Calibri" w:cs="Arial"/>
          <w:kern w:val="0"/>
          <w:sz w:val="22"/>
          <w:szCs w:val="22"/>
          <w:lang w:val="sl-SI" w:eastAsia="en-US" w:bidi="ar-SA"/>
        </w:rPr>
        <w:t xml:space="preserve">do osnutka </w:t>
      </w:r>
    </w:p>
    <w:p w:rsidR="00314FAD" w:rsidRPr="002F3386" w:rsidRDefault="00314FAD" w:rsidP="00965B29">
      <w:pPr>
        <w:widowControl/>
        <w:suppressAutoHyphens w:val="0"/>
        <w:spacing w:before="0" w:after="0" w:line="240" w:lineRule="atLeast"/>
        <w:rPr>
          <w:rFonts w:ascii="Calibri" w:hAnsi="Calibri" w:cs="Times New Roman"/>
          <w:b/>
          <w:bCs/>
          <w:color w:val="70AD47"/>
          <w:kern w:val="0"/>
          <w:sz w:val="32"/>
          <w:szCs w:val="32"/>
          <w:lang w:val="sl-SI" w:eastAsia="sl-SI" w:bidi="ar-SA"/>
        </w:rPr>
      </w:pPr>
      <w:r w:rsidRPr="004E32B1">
        <w:rPr>
          <w:rFonts w:ascii="Calibri" w:hAnsi="Calibri" w:cs="Arial"/>
          <w:b/>
          <w:color w:val="70AD47"/>
          <w:kern w:val="0"/>
          <w:sz w:val="32"/>
          <w:szCs w:val="32"/>
          <w:lang w:val="sl-SI" w:eastAsia="en-US" w:bidi="ar-SA"/>
        </w:rPr>
        <w:t xml:space="preserve">Uredbe o spremembah in dopolnitvah uredbe o okoljski dajatvi za onesnaževanje zraka z emisijo </w:t>
      </w:r>
      <w:r w:rsidRPr="004E32B1">
        <w:rPr>
          <w:rFonts w:ascii="Calibri" w:hAnsi="Calibri" w:cs="Times New Roman"/>
          <w:b/>
          <w:bCs/>
          <w:color w:val="70AD47"/>
          <w:kern w:val="0"/>
          <w:sz w:val="32"/>
          <w:szCs w:val="32"/>
          <w:lang w:val="sl-SI" w:eastAsia="sl-SI" w:bidi="ar-SA"/>
        </w:rPr>
        <w:t>ogljikovega dioksida</w:t>
      </w:r>
      <w:r w:rsidRPr="002F3386">
        <w:rPr>
          <w:rFonts w:ascii="Calibri" w:hAnsi="Calibri" w:cs="Times New Roman"/>
          <w:b/>
          <w:bCs/>
          <w:color w:val="70AD47"/>
          <w:kern w:val="0"/>
          <w:sz w:val="32"/>
          <w:szCs w:val="32"/>
          <w:lang w:val="sl-SI" w:eastAsia="sl-SI" w:bidi="ar-SA"/>
        </w:rPr>
        <w:t xml:space="preserve">, </w:t>
      </w:r>
    </w:p>
    <w:p w:rsidR="00314FAD" w:rsidRPr="00965B29" w:rsidRDefault="00314FAD" w:rsidP="00965B29">
      <w:pPr>
        <w:widowControl/>
        <w:suppressAutoHyphens w:val="0"/>
        <w:spacing w:before="0" w:after="0" w:line="240" w:lineRule="atLeast"/>
        <w:rPr>
          <w:rFonts w:ascii="Calibri" w:hAnsi="Calibri" w:cs="Times New Roman"/>
          <w:bCs/>
          <w:kern w:val="0"/>
          <w:sz w:val="22"/>
          <w:szCs w:val="22"/>
          <w:lang w:val="sl-SI" w:eastAsia="sl-SI" w:bidi="ar-SA"/>
        </w:rPr>
      </w:pPr>
      <w:r w:rsidRPr="002F3386">
        <w:rPr>
          <w:rFonts w:ascii="Calibri" w:hAnsi="Calibri" w:cs="Times New Roman"/>
          <w:bCs/>
          <w:kern w:val="0"/>
          <w:sz w:val="22"/>
          <w:szCs w:val="22"/>
          <w:lang w:val="sl-SI" w:eastAsia="sl-SI" w:bidi="ar-SA"/>
        </w:rPr>
        <w:t xml:space="preserve">št. zadeve </w:t>
      </w:r>
      <w:r w:rsidRPr="00965B29">
        <w:rPr>
          <w:rFonts w:ascii="Calibri" w:hAnsi="Calibri" w:cs="Times New Roman"/>
          <w:bCs/>
          <w:kern w:val="0"/>
          <w:sz w:val="22"/>
          <w:szCs w:val="22"/>
          <w:lang w:val="sl-SI" w:eastAsia="sl-SI" w:bidi="ar-SA"/>
        </w:rPr>
        <w:t>007-356/2014</w:t>
      </w:r>
      <w:r w:rsidRPr="002F3386">
        <w:rPr>
          <w:rFonts w:ascii="Calibri" w:hAnsi="Calibri" w:cs="Times New Roman"/>
          <w:bCs/>
          <w:kern w:val="0"/>
          <w:sz w:val="22"/>
          <w:szCs w:val="22"/>
          <w:lang w:val="sl-SI" w:eastAsia="sl-SI" w:bidi="ar-SA"/>
        </w:rPr>
        <w:t xml:space="preserve">, javna objava z dne </w:t>
      </w:r>
      <w:r w:rsidRPr="00965B29">
        <w:rPr>
          <w:rFonts w:ascii="Calibri" w:hAnsi="Calibri" w:cs="Times New Roman"/>
          <w:bCs/>
          <w:kern w:val="0"/>
          <w:sz w:val="22"/>
          <w:szCs w:val="22"/>
          <w:lang w:val="sl-SI" w:eastAsia="sl-SI" w:bidi="ar-SA"/>
        </w:rPr>
        <w:t>5. 12. 2014</w:t>
      </w:r>
    </w:p>
    <w:p w:rsidR="00314FAD" w:rsidRDefault="00314FAD" w:rsidP="004E32B1">
      <w:pPr>
        <w:suppressAutoHyphens w:val="0"/>
        <w:spacing w:before="0" w:after="0"/>
        <w:jc w:val="both"/>
        <w:rPr>
          <w:rFonts w:ascii="Calibri" w:hAnsi="Calibri" w:cs="Arial"/>
          <w:b/>
          <w:kern w:val="0"/>
          <w:sz w:val="22"/>
          <w:szCs w:val="22"/>
          <w:lang w:val="sl-SI" w:eastAsia="en-US" w:bidi="ar-SA"/>
        </w:rPr>
      </w:pPr>
    </w:p>
    <w:p w:rsidR="00F95C64" w:rsidRDefault="00F95C64" w:rsidP="002F3386">
      <w:pPr>
        <w:widowControl/>
        <w:suppressAutoHyphens w:val="0"/>
        <w:spacing w:before="0" w:after="0" w:line="240" w:lineRule="atLeast"/>
        <w:rPr>
          <w:rFonts w:ascii="Calibri" w:hAnsi="Calibri" w:cs="Arial"/>
          <w:b/>
          <w:color w:val="2E74B5"/>
          <w:kern w:val="0"/>
          <w:sz w:val="32"/>
          <w:szCs w:val="32"/>
          <w:lang w:val="sl-SI" w:eastAsia="en-US" w:bidi="ar-SA"/>
        </w:rPr>
      </w:pPr>
    </w:p>
    <w:p w:rsidR="00314FAD" w:rsidRPr="002F3386" w:rsidRDefault="00314FAD" w:rsidP="002F3386">
      <w:pPr>
        <w:widowControl/>
        <w:suppressAutoHyphens w:val="0"/>
        <w:spacing w:before="0" w:after="0" w:line="240" w:lineRule="atLeast"/>
        <w:rPr>
          <w:rFonts w:ascii="Calibri" w:hAnsi="Calibri" w:cs="Arial"/>
          <w:b/>
          <w:color w:val="2E74B5"/>
          <w:kern w:val="0"/>
          <w:sz w:val="32"/>
          <w:szCs w:val="32"/>
          <w:lang w:val="sl-SI" w:eastAsia="en-US" w:bidi="ar-SA"/>
        </w:rPr>
      </w:pPr>
      <w:r w:rsidRPr="002F3386">
        <w:rPr>
          <w:rFonts w:ascii="Calibri" w:hAnsi="Calibri" w:cs="Arial"/>
          <w:b/>
          <w:color w:val="2E74B5"/>
          <w:kern w:val="0"/>
          <w:sz w:val="32"/>
          <w:szCs w:val="32"/>
          <w:lang w:val="sl-SI" w:eastAsia="en-US" w:bidi="ar-SA"/>
        </w:rPr>
        <w:t>Ključne ugotovitve:</w:t>
      </w:r>
    </w:p>
    <w:p w:rsidR="00314FAD" w:rsidRDefault="00314FAD" w:rsidP="002F3386">
      <w:pPr>
        <w:suppressAutoHyphens w:val="0"/>
        <w:spacing w:before="0" w:after="0"/>
        <w:jc w:val="both"/>
        <w:rPr>
          <w:rFonts w:ascii="Calibri" w:hAnsi="Calibri" w:cs="Arial"/>
          <w:b/>
          <w:kern w:val="0"/>
          <w:sz w:val="22"/>
          <w:szCs w:val="22"/>
          <w:lang w:val="sl-SI" w:eastAsia="en-US" w:bidi="ar-SA"/>
        </w:rPr>
      </w:pPr>
    </w:p>
    <w:p w:rsidR="00314FAD" w:rsidRPr="00BD6437" w:rsidRDefault="00314FAD" w:rsidP="002F3386">
      <w:pPr>
        <w:suppressAutoHyphens w:val="0"/>
        <w:spacing w:before="0" w:after="0"/>
        <w:jc w:val="both"/>
        <w:rPr>
          <w:rFonts w:ascii="Calibri" w:hAnsi="Calibri" w:cs="Arial"/>
          <w:b/>
          <w:kern w:val="0"/>
          <w:sz w:val="24"/>
          <w:szCs w:val="22"/>
          <w:lang w:val="sl-SI" w:eastAsia="en-US" w:bidi="ar-SA"/>
        </w:rPr>
      </w:pPr>
      <w:r w:rsidRPr="00BD6437">
        <w:rPr>
          <w:rFonts w:ascii="Calibri" w:hAnsi="Calibri" w:cs="Arial"/>
          <w:b/>
          <w:kern w:val="0"/>
          <w:sz w:val="24"/>
          <w:szCs w:val="22"/>
          <w:lang w:val="sl-SI" w:eastAsia="en-US" w:bidi="ar-SA"/>
        </w:rPr>
        <w:t xml:space="preserve">Osnutek uredbe </w:t>
      </w:r>
    </w:p>
    <w:p w:rsidR="00314FAD" w:rsidRPr="00BD6437" w:rsidRDefault="00314FAD" w:rsidP="002F3386">
      <w:pPr>
        <w:pStyle w:val="Odstavekseznama"/>
        <w:numPr>
          <w:ilvl w:val="1"/>
          <w:numId w:val="34"/>
        </w:numPr>
        <w:suppressAutoHyphens w:val="0"/>
        <w:spacing w:before="0" w:after="0"/>
        <w:jc w:val="both"/>
        <w:rPr>
          <w:rFonts w:ascii="Calibri" w:hAnsi="Calibri" w:cs="Times New Roman"/>
          <w:bCs/>
          <w:kern w:val="0"/>
          <w:sz w:val="24"/>
          <w:szCs w:val="22"/>
          <w:lang w:val="sl-SI" w:eastAsia="sl-SI" w:bidi="ar-SA"/>
        </w:rPr>
      </w:pPr>
      <w:r w:rsidRPr="00BD6437">
        <w:rPr>
          <w:rFonts w:ascii="Calibri" w:hAnsi="Calibri" w:cs="Times New Roman"/>
          <w:bCs/>
          <w:kern w:val="0"/>
          <w:sz w:val="24"/>
          <w:szCs w:val="22"/>
          <w:lang w:val="sl-SI" w:eastAsia="sl-SI" w:bidi="ar-SA"/>
        </w:rPr>
        <w:t>ne ureja vprašanja oprostitve plačila dajatve po 31. decembru 2014</w:t>
      </w:r>
      <w:r>
        <w:rPr>
          <w:rFonts w:ascii="Calibri" w:hAnsi="Calibri" w:cs="Times New Roman"/>
          <w:bCs/>
          <w:kern w:val="0"/>
          <w:sz w:val="24"/>
          <w:szCs w:val="22"/>
          <w:lang w:val="sl-SI" w:eastAsia="sl-SI" w:bidi="ar-SA"/>
        </w:rPr>
        <w:t xml:space="preserve"> do uveljavitve nove sheme/uredbe</w:t>
      </w:r>
      <w:r w:rsidRPr="00BD6437">
        <w:rPr>
          <w:rFonts w:ascii="Calibri" w:hAnsi="Calibri" w:cs="Times New Roman"/>
          <w:bCs/>
          <w:kern w:val="0"/>
          <w:sz w:val="24"/>
          <w:szCs w:val="22"/>
          <w:lang w:val="sl-SI" w:eastAsia="sl-SI" w:bidi="ar-SA"/>
        </w:rPr>
        <w:t xml:space="preserve">, kar pomeni dodatno obremenitev podjetij v višini okoli </w:t>
      </w:r>
      <w:r w:rsidRPr="00BD6437">
        <w:rPr>
          <w:rFonts w:ascii="Calibri" w:hAnsi="Calibri" w:cs="Arial"/>
          <w:b/>
          <w:kern w:val="0"/>
          <w:sz w:val="24"/>
          <w:szCs w:val="22"/>
          <w:lang w:val="sl-SI" w:eastAsia="en-US" w:bidi="ar-SA"/>
        </w:rPr>
        <w:t xml:space="preserve">9 milijonov evrov na mesec. </w:t>
      </w:r>
    </w:p>
    <w:p w:rsidR="00314FAD" w:rsidRPr="00BD6437" w:rsidRDefault="00314FAD" w:rsidP="002F3386">
      <w:pPr>
        <w:pStyle w:val="Odstavekseznama"/>
        <w:numPr>
          <w:ilvl w:val="1"/>
          <w:numId w:val="34"/>
        </w:numPr>
        <w:suppressAutoHyphens w:val="0"/>
        <w:spacing w:before="0" w:after="0"/>
        <w:jc w:val="both"/>
        <w:rPr>
          <w:rFonts w:ascii="Calibri" w:hAnsi="Calibri" w:cs="Times New Roman"/>
          <w:bCs/>
          <w:kern w:val="0"/>
          <w:sz w:val="24"/>
          <w:szCs w:val="22"/>
          <w:lang w:val="sl-SI" w:eastAsia="sl-SI" w:bidi="ar-SA"/>
        </w:rPr>
      </w:pPr>
      <w:r w:rsidRPr="00BD6437">
        <w:rPr>
          <w:rFonts w:ascii="Calibri" w:hAnsi="Calibri" w:cs="Times New Roman"/>
          <w:bCs/>
          <w:kern w:val="0"/>
          <w:sz w:val="24"/>
          <w:szCs w:val="22"/>
          <w:lang w:val="sl-SI" w:eastAsia="sl-SI" w:bidi="ar-SA"/>
        </w:rPr>
        <w:t xml:space="preserve">ne vključuje (celovite) ocene učinkov </w:t>
      </w:r>
      <w:r>
        <w:rPr>
          <w:rFonts w:ascii="Calibri" w:hAnsi="Calibri" w:cs="Times New Roman"/>
          <w:bCs/>
          <w:kern w:val="0"/>
          <w:sz w:val="24"/>
          <w:szCs w:val="22"/>
          <w:lang w:val="sl-SI" w:eastAsia="sl-SI" w:bidi="ar-SA"/>
        </w:rPr>
        <w:t xml:space="preserve">po Resoluciji o normativni dejavnosti - </w:t>
      </w:r>
      <w:r w:rsidRPr="00BD6437">
        <w:rPr>
          <w:rFonts w:ascii="Calibri" w:hAnsi="Calibri" w:cs="Times New Roman"/>
          <w:bCs/>
          <w:kern w:val="0"/>
          <w:sz w:val="24"/>
          <w:szCs w:val="22"/>
          <w:lang w:val="sl-SI" w:eastAsia="sl-SI" w:bidi="ar-SA"/>
        </w:rPr>
        <w:t>na javne finance, skladnost z EU direktivami, na gospodarstvo, okolje, socialo in odpravo administrativnih ovir.</w:t>
      </w:r>
    </w:p>
    <w:p w:rsidR="00314FAD" w:rsidRPr="00BD6437" w:rsidRDefault="00314FAD" w:rsidP="002F3386">
      <w:pPr>
        <w:pStyle w:val="Odstavekseznama"/>
        <w:numPr>
          <w:ilvl w:val="1"/>
          <w:numId w:val="34"/>
        </w:numPr>
        <w:suppressAutoHyphens w:val="0"/>
        <w:spacing w:before="0" w:after="0"/>
        <w:jc w:val="both"/>
        <w:rPr>
          <w:rFonts w:ascii="Calibri" w:hAnsi="Calibri" w:cs="Times New Roman"/>
          <w:bCs/>
          <w:kern w:val="0"/>
          <w:sz w:val="24"/>
          <w:szCs w:val="22"/>
          <w:lang w:val="sl-SI" w:eastAsia="sl-SI" w:bidi="ar-SA"/>
        </w:rPr>
      </w:pPr>
      <w:r w:rsidRPr="00BD6437">
        <w:rPr>
          <w:rFonts w:ascii="Calibri" w:hAnsi="Calibri" w:cs="Times New Roman"/>
          <w:bCs/>
          <w:kern w:val="0"/>
          <w:sz w:val="24"/>
          <w:szCs w:val="22"/>
          <w:lang w:val="sl-SI" w:eastAsia="sl-SI" w:bidi="ar-SA"/>
        </w:rPr>
        <w:t>ne vključuje primerjave obremenitev iz tega naslova s ključnimi članicami EU-28</w:t>
      </w:r>
      <w:r>
        <w:rPr>
          <w:rFonts w:ascii="Calibri" w:hAnsi="Calibri" w:cs="Times New Roman"/>
          <w:bCs/>
          <w:kern w:val="0"/>
          <w:sz w:val="24"/>
          <w:szCs w:val="22"/>
          <w:lang w:val="sl-SI" w:eastAsia="sl-SI" w:bidi="ar-SA"/>
        </w:rPr>
        <w:t>.</w:t>
      </w:r>
    </w:p>
    <w:p w:rsidR="00314FAD" w:rsidRPr="00BD6437" w:rsidRDefault="00314FAD" w:rsidP="002F3386">
      <w:pPr>
        <w:pStyle w:val="Odstavekseznama"/>
        <w:widowControl/>
        <w:numPr>
          <w:ilvl w:val="1"/>
          <w:numId w:val="34"/>
        </w:numPr>
        <w:suppressAutoHyphens w:val="0"/>
        <w:spacing w:before="120" w:after="0"/>
        <w:jc w:val="both"/>
        <w:rPr>
          <w:rFonts w:ascii="Calibri" w:hAnsi="Calibri" w:cs="Arial"/>
          <w:b/>
          <w:bCs/>
          <w:kern w:val="0"/>
          <w:sz w:val="24"/>
          <w:szCs w:val="22"/>
          <w:lang w:val="sl-SI" w:eastAsia="sl-SI" w:bidi="ar-SA"/>
        </w:rPr>
      </w:pPr>
      <w:r w:rsidRPr="00BD6437">
        <w:rPr>
          <w:rFonts w:ascii="Calibri" w:hAnsi="Calibri" w:cs="Times New Roman"/>
          <w:bCs/>
          <w:kern w:val="0"/>
          <w:sz w:val="24"/>
          <w:szCs w:val="22"/>
          <w:lang w:val="sl-SI" w:eastAsia="sl-SI" w:bidi="ar-SA"/>
        </w:rPr>
        <w:t>nima opredelitve minimalne dajatve, ki je pogoj za uveljavljanje sheme državnih pomoči za oprostitev C</w:t>
      </w:r>
      <w:r>
        <w:rPr>
          <w:rFonts w:ascii="Calibri" w:hAnsi="Calibri" w:cs="Times New Roman"/>
          <w:bCs/>
          <w:kern w:val="0"/>
          <w:sz w:val="24"/>
          <w:szCs w:val="22"/>
          <w:lang w:val="sl-SI" w:eastAsia="sl-SI" w:bidi="ar-SA"/>
        </w:rPr>
        <w:t>O</w:t>
      </w:r>
      <w:r w:rsidRPr="00EE49A4">
        <w:rPr>
          <w:rFonts w:ascii="Calibri" w:hAnsi="Calibri" w:cs="Times New Roman"/>
          <w:bCs/>
          <w:kern w:val="0"/>
          <w:sz w:val="24"/>
          <w:szCs w:val="22"/>
          <w:vertAlign w:val="subscript"/>
          <w:lang w:val="sl-SI" w:eastAsia="sl-SI" w:bidi="ar-SA"/>
        </w:rPr>
        <w:t>2</w:t>
      </w:r>
      <w:r w:rsidRPr="00BD6437">
        <w:rPr>
          <w:rFonts w:ascii="Calibri" w:hAnsi="Calibri" w:cs="Times New Roman"/>
          <w:bCs/>
          <w:kern w:val="0"/>
          <w:sz w:val="24"/>
          <w:szCs w:val="22"/>
          <w:lang w:val="sl-SI" w:eastAsia="sl-SI" w:bidi="ar-SA"/>
        </w:rPr>
        <w:t xml:space="preserve"> dajatve</w:t>
      </w:r>
      <w:r>
        <w:rPr>
          <w:rFonts w:ascii="Calibri" w:hAnsi="Calibri" w:cs="Times New Roman"/>
          <w:bCs/>
          <w:kern w:val="0"/>
          <w:sz w:val="24"/>
          <w:szCs w:val="22"/>
          <w:lang w:val="sl-SI" w:eastAsia="sl-SI" w:bidi="ar-SA"/>
        </w:rPr>
        <w:t>.</w:t>
      </w:r>
    </w:p>
    <w:p w:rsidR="00314FAD" w:rsidRPr="00BD6437" w:rsidRDefault="00314FAD" w:rsidP="002F3386">
      <w:pPr>
        <w:pStyle w:val="Odstavekseznama"/>
        <w:widowControl/>
        <w:numPr>
          <w:ilvl w:val="1"/>
          <w:numId w:val="34"/>
        </w:numPr>
        <w:suppressAutoHyphens w:val="0"/>
        <w:spacing w:before="0" w:after="0"/>
        <w:jc w:val="both"/>
        <w:rPr>
          <w:rFonts w:ascii="Calibri" w:hAnsi="Calibri" w:cs="Arial"/>
          <w:b/>
          <w:kern w:val="0"/>
          <w:sz w:val="24"/>
          <w:szCs w:val="22"/>
          <w:lang w:val="sl-SI" w:eastAsia="en-US" w:bidi="ar-SA"/>
        </w:rPr>
      </w:pPr>
      <w:r w:rsidRPr="00BD6437">
        <w:rPr>
          <w:rFonts w:ascii="Calibri" w:hAnsi="Calibri" w:cs="Times New Roman"/>
          <w:b/>
          <w:bCs/>
          <w:kern w:val="0"/>
          <w:sz w:val="24"/>
          <w:szCs w:val="22"/>
          <w:lang w:val="sl-SI" w:eastAsia="sl-SI" w:bidi="ar-SA"/>
        </w:rPr>
        <w:t>g</w:t>
      </w:r>
      <w:r w:rsidRPr="00BD6437">
        <w:rPr>
          <w:rFonts w:ascii="Calibri" w:hAnsi="Calibri" w:cs="Arial"/>
          <w:b/>
          <w:bCs/>
          <w:kern w:val="0"/>
          <w:sz w:val="24"/>
          <w:szCs w:val="22"/>
          <w:lang w:val="sl-SI" w:eastAsia="sl-SI" w:bidi="ar-SA"/>
        </w:rPr>
        <w:t>ospodarstvu nalaga nesprejemljive dodatne obremenitve</w:t>
      </w:r>
      <w:r>
        <w:rPr>
          <w:rFonts w:ascii="Calibri" w:hAnsi="Calibri" w:cs="Arial"/>
          <w:b/>
          <w:bCs/>
          <w:kern w:val="0"/>
          <w:sz w:val="24"/>
          <w:szCs w:val="22"/>
          <w:lang w:val="sl-SI" w:eastAsia="sl-SI" w:bidi="ar-SA"/>
        </w:rPr>
        <w:t>.</w:t>
      </w:r>
    </w:p>
    <w:p w:rsidR="00314FAD" w:rsidRPr="00BD6437" w:rsidRDefault="00314FAD" w:rsidP="00A130B5">
      <w:pPr>
        <w:widowControl/>
        <w:suppressAutoHyphens w:val="0"/>
        <w:spacing w:before="120" w:after="0"/>
        <w:jc w:val="both"/>
        <w:rPr>
          <w:rFonts w:ascii="Calibri" w:hAnsi="Calibri" w:cs="Arial"/>
          <w:b/>
          <w:color w:val="2E74B5"/>
          <w:kern w:val="0"/>
          <w:sz w:val="24"/>
          <w:szCs w:val="32"/>
          <w:lang w:val="sl-SI" w:eastAsia="en-US" w:bidi="ar-SA"/>
        </w:rPr>
      </w:pPr>
    </w:p>
    <w:p w:rsidR="00314FAD" w:rsidRPr="004E32B1" w:rsidRDefault="00314FAD" w:rsidP="00A130B5">
      <w:pPr>
        <w:widowControl/>
        <w:suppressAutoHyphens w:val="0"/>
        <w:spacing w:before="120" w:after="0"/>
        <w:jc w:val="both"/>
        <w:rPr>
          <w:rFonts w:ascii="Calibri" w:hAnsi="Calibri" w:cs="Arial"/>
          <w:b/>
          <w:color w:val="2E74B5"/>
          <w:kern w:val="0"/>
          <w:sz w:val="32"/>
          <w:szCs w:val="32"/>
          <w:lang w:val="sl-SI" w:eastAsia="en-US" w:bidi="ar-SA"/>
        </w:rPr>
      </w:pPr>
      <w:r w:rsidRPr="002F3386">
        <w:rPr>
          <w:rFonts w:ascii="Calibri" w:hAnsi="Calibri" w:cs="Arial"/>
          <w:b/>
          <w:color w:val="2E74B5"/>
          <w:kern w:val="0"/>
          <w:sz w:val="32"/>
          <w:szCs w:val="32"/>
          <w:lang w:val="sl-SI" w:eastAsia="en-US" w:bidi="ar-SA"/>
        </w:rPr>
        <w:t xml:space="preserve">Gospodarstvo osnutku uredbe ostro nasprotuje in </w:t>
      </w:r>
      <w:r w:rsidR="00F95C64">
        <w:rPr>
          <w:rFonts w:ascii="Calibri" w:hAnsi="Calibri" w:cs="Arial"/>
          <w:b/>
          <w:color w:val="2E74B5"/>
          <w:kern w:val="0"/>
          <w:sz w:val="32"/>
          <w:szCs w:val="32"/>
          <w:lang w:val="sl-SI" w:eastAsia="en-US" w:bidi="ar-SA"/>
        </w:rPr>
        <w:t xml:space="preserve">od ministrstva za finance ter ministrstva za okolje in prostor </w:t>
      </w:r>
    </w:p>
    <w:p w:rsidR="00314FAD" w:rsidRPr="002F3386" w:rsidRDefault="00314FAD" w:rsidP="002F3386">
      <w:pPr>
        <w:widowControl/>
        <w:suppressAutoHyphens w:val="0"/>
        <w:spacing w:before="120" w:after="0"/>
        <w:jc w:val="both"/>
        <w:rPr>
          <w:rFonts w:ascii="Calibri" w:hAnsi="Calibri" w:cs="Arial"/>
          <w:b/>
          <w:color w:val="2E74B5"/>
          <w:kern w:val="0"/>
          <w:sz w:val="32"/>
          <w:szCs w:val="32"/>
          <w:lang w:val="sl-SI" w:eastAsia="en-US" w:bidi="ar-SA"/>
        </w:rPr>
      </w:pPr>
      <w:r w:rsidRPr="002F3386">
        <w:rPr>
          <w:rFonts w:ascii="Calibri" w:hAnsi="Calibri" w:cs="Arial"/>
          <w:b/>
          <w:color w:val="2E74B5"/>
          <w:kern w:val="0"/>
          <w:sz w:val="32"/>
          <w:szCs w:val="32"/>
          <w:lang w:val="sl-SI" w:eastAsia="en-US" w:bidi="ar-SA"/>
        </w:rPr>
        <w:t>ZAHTEVA</w:t>
      </w:r>
    </w:p>
    <w:p w:rsidR="00314FAD" w:rsidRPr="007D31F3" w:rsidRDefault="00314FAD" w:rsidP="00BD6437">
      <w:pPr>
        <w:widowControl/>
        <w:numPr>
          <w:ilvl w:val="0"/>
          <w:numId w:val="33"/>
        </w:numPr>
        <w:suppressAutoHyphens w:val="0"/>
        <w:spacing w:before="120" w:after="120"/>
        <w:jc w:val="both"/>
        <w:rPr>
          <w:rFonts w:ascii="Calibri" w:hAnsi="Calibri" w:cs="Arial"/>
          <w:b/>
          <w:bCs/>
          <w:kern w:val="0"/>
          <w:sz w:val="22"/>
          <w:szCs w:val="22"/>
          <w:lang w:val="sl-SI" w:eastAsia="sl-SI" w:bidi="ar-SA"/>
        </w:rPr>
      </w:pPr>
      <w:r w:rsidRPr="007D31F3">
        <w:rPr>
          <w:rFonts w:ascii="Calibri" w:hAnsi="Calibri" w:cs="Arial"/>
          <w:b/>
          <w:bCs/>
          <w:kern w:val="0"/>
          <w:sz w:val="22"/>
          <w:szCs w:val="22"/>
          <w:lang w:val="sl-SI" w:eastAsia="sl-SI" w:bidi="ar-SA"/>
        </w:rPr>
        <w:t>Podaljšanje veljavnost</w:t>
      </w:r>
      <w:r w:rsidR="00264EE7">
        <w:rPr>
          <w:rFonts w:ascii="Calibri" w:hAnsi="Calibri" w:cs="Arial"/>
          <w:b/>
          <w:bCs/>
          <w:kern w:val="0"/>
          <w:sz w:val="22"/>
          <w:szCs w:val="22"/>
          <w:lang w:val="sl-SI" w:eastAsia="sl-SI" w:bidi="ar-SA"/>
        </w:rPr>
        <w:t>i</w:t>
      </w:r>
      <w:r w:rsidRPr="007D31F3">
        <w:rPr>
          <w:rFonts w:ascii="Calibri" w:hAnsi="Calibri" w:cs="Arial"/>
          <w:b/>
          <w:bCs/>
          <w:kern w:val="0"/>
          <w:sz w:val="22"/>
          <w:szCs w:val="22"/>
          <w:lang w:val="sl-SI" w:eastAsia="sl-SI" w:bidi="ar-SA"/>
        </w:rPr>
        <w:t xml:space="preserve"> obstoječe sheme za obdobje 6 mesecev oziroma do 30.6.2015;</w:t>
      </w:r>
    </w:p>
    <w:p w:rsidR="00314FAD" w:rsidRPr="007D31F3" w:rsidRDefault="00314FAD" w:rsidP="00BD6437">
      <w:pPr>
        <w:numPr>
          <w:ilvl w:val="0"/>
          <w:numId w:val="33"/>
        </w:numPr>
        <w:suppressAutoHyphens w:val="0"/>
        <w:spacing w:before="120" w:after="120"/>
        <w:jc w:val="both"/>
        <w:rPr>
          <w:rFonts w:ascii="Calibri" w:hAnsi="Calibri" w:cs="Times New Roman"/>
          <w:b/>
          <w:bCs/>
          <w:kern w:val="0"/>
          <w:sz w:val="22"/>
          <w:szCs w:val="22"/>
          <w:lang w:val="sl-SI" w:eastAsia="sl-SI" w:bidi="ar-SA"/>
        </w:rPr>
      </w:pPr>
      <w:r w:rsidRPr="007D31F3">
        <w:rPr>
          <w:rFonts w:ascii="Calibri" w:hAnsi="Calibri" w:cs="Arial"/>
          <w:b/>
          <w:bCs/>
          <w:kern w:val="0"/>
          <w:sz w:val="22"/>
          <w:szCs w:val="22"/>
          <w:lang w:val="sl-SI" w:eastAsia="en-US" w:bidi="ar-SA"/>
        </w:rPr>
        <w:t>Razjasnitev, kaj pomeni plačilo vsaj najnižje stopnje obremenitve za predmetno rabo, ki je pogoj za oprostitev plačila dajatve; pojasni</w:t>
      </w:r>
      <w:r w:rsidR="00F95C64">
        <w:rPr>
          <w:rFonts w:ascii="Calibri" w:hAnsi="Calibri" w:cs="Arial"/>
          <w:b/>
          <w:bCs/>
          <w:kern w:val="0"/>
          <w:sz w:val="22"/>
          <w:szCs w:val="22"/>
          <w:lang w:val="sl-SI" w:eastAsia="en-US" w:bidi="ar-SA"/>
        </w:rPr>
        <w:t>lo</w:t>
      </w:r>
      <w:r w:rsidRPr="007D31F3">
        <w:rPr>
          <w:rFonts w:ascii="Calibri" w:hAnsi="Calibri" w:cs="Arial"/>
          <w:b/>
          <w:bCs/>
          <w:kern w:val="0"/>
          <w:sz w:val="22"/>
          <w:szCs w:val="22"/>
          <w:lang w:val="sl-SI" w:eastAsia="en-US" w:bidi="ar-SA"/>
        </w:rPr>
        <w:t>, k</w:t>
      </w:r>
      <w:r w:rsidRPr="007D31F3">
        <w:rPr>
          <w:rFonts w:ascii="Calibri" w:hAnsi="Calibri" w:cs="Times New Roman"/>
          <w:b/>
          <w:bCs/>
          <w:kern w:val="0"/>
          <w:sz w:val="22"/>
          <w:szCs w:val="22"/>
          <w:lang w:val="sl-SI" w:eastAsia="sl-SI" w:bidi="ar-SA"/>
        </w:rPr>
        <w:t>ateri energenti in dajatve se upoštevajo pri določitvi te dajatve (trošarine, CO</w:t>
      </w:r>
      <w:r w:rsidRPr="007D31F3">
        <w:rPr>
          <w:rFonts w:ascii="Calibri" w:hAnsi="Calibri" w:cs="Times New Roman"/>
          <w:b/>
          <w:bCs/>
          <w:kern w:val="0"/>
          <w:sz w:val="22"/>
          <w:szCs w:val="22"/>
          <w:vertAlign w:val="subscript"/>
          <w:lang w:val="sl-SI" w:eastAsia="sl-SI" w:bidi="ar-SA"/>
        </w:rPr>
        <w:t>2</w:t>
      </w:r>
      <w:r w:rsidRPr="007D31F3">
        <w:rPr>
          <w:rFonts w:ascii="Calibri" w:hAnsi="Calibri" w:cs="Times New Roman"/>
          <w:b/>
          <w:bCs/>
          <w:kern w:val="0"/>
          <w:sz w:val="22"/>
          <w:szCs w:val="22"/>
          <w:lang w:val="sl-SI" w:eastAsia="sl-SI" w:bidi="ar-SA"/>
        </w:rPr>
        <w:t xml:space="preserve">, URE, OVE …), kako se plačane dajatve seštevajo, kakšne obremenitve za gospodarstvo iz tega izhajajo; </w:t>
      </w:r>
    </w:p>
    <w:p w:rsidR="00314FAD" w:rsidRPr="007D31F3" w:rsidRDefault="00314FAD" w:rsidP="00BD6437">
      <w:pPr>
        <w:numPr>
          <w:ilvl w:val="0"/>
          <w:numId w:val="33"/>
        </w:numPr>
        <w:suppressAutoHyphens w:val="0"/>
        <w:spacing w:before="120" w:after="120"/>
        <w:jc w:val="both"/>
        <w:rPr>
          <w:rFonts w:ascii="Calibri" w:hAnsi="Calibri" w:cs="Times New Roman"/>
          <w:b/>
          <w:bCs/>
          <w:kern w:val="0"/>
          <w:sz w:val="22"/>
          <w:szCs w:val="22"/>
          <w:lang w:val="sl-SI" w:eastAsia="sl-SI" w:bidi="ar-SA"/>
        </w:rPr>
      </w:pPr>
      <w:r w:rsidRPr="007D31F3">
        <w:rPr>
          <w:rFonts w:ascii="Calibri" w:hAnsi="Calibri" w:cs="Times New Roman"/>
          <w:b/>
          <w:bCs/>
          <w:kern w:val="0"/>
          <w:sz w:val="22"/>
          <w:szCs w:val="22"/>
          <w:lang w:val="sl-SI" w:eastAsia="sl-SI" w:bidi="ar-SA"/>
        </w:rPr>
        <w:lastRenderedPageBreak/>
        <w:t xml:space="preserve">Pripravo in sprejem nove uredbe z uveljavitvijo 1.7.2015, ki bo vse </w:t>
      </w:r>
      <w:r w:rsidRPr="007D31F3">
        <w:rPr>
          <w:rFonts w:ascii="Calibri" w:hAnsi="Calibri" w:cs="Times New Roman"/>
          <w:b/>
          <w:noProof/>
          <w:kern w:val="0"/>
          <w:sz w:val="22"/>
          <w:szCs w:val="22"/>
          <w:lang w:val="sl-SI" w:eastAsia="en-US" w:bidi="ar-SA"/>
        </w:rPr>
        <w:t xml:space="preserve">imetnike dovoljenj za izpuščanje toplogrednih plinov, torej tudi EU-ETS naprave, </w:t>
      </w:r>
      <w:r w:rsidRPr="007D31F3">
        <w:rPr>
          <w:rFonts w:ascii="Calibri" w:hAnsi="Calibri" w:cs="Times New Roman"/>
          <w:b/>
          <w:bCs/>
          <w:kern w:val="0"/>
          <w:sz w:val="22"/>
          <w:szCs w:val="22"/>
          <w:lang w:val="sl-SI" w:eastAsia="sl-SI" w:bidi="ar-SA"/>
        </w:rPr>
        <w:t>100 % oprostila plačila dajatve.</w:t>
      </w:r>
    </w:p>
    <w:p w:rsidR="00314FAD" w:rsidRPr="00D15B24" w:rsidRDefault="00314FAD" w:rsidP="001C0863">
      <w:pPr>
        <w:suppressAutoHyphens w:val="0"/>
        <w:spacing w:before="120" w:after="120"/>
        <w:jc w:val="both"/>
        <w:rPr>
          <w:rFonts w:ascii="Calibri" w:hAnsi="Calibri" w:cs="Times New Roman"/>
          <w:bCs/>
          <w:kern w:val="0"/>
          <w:sz w:val="22"/>
          <w:szCs w:val="22"/>
          <w:lang w:val="sl-SI" w:eastAsia="sl-SI" w:bidi="ar-SA"/>
        </w:rPr>
      </w:pPr>
      <w:r w:rsidRPr="00D15B24">
        <w:rPr>
          <w:rFonts w:ascii="Calibri" w:hAnsi="Calibri" w:cs="Times New Roman"/>
          <w:bCs/>
          <w:kern w:val="0"/>
          <w:sz w:val="22"/>
          <w:szCs w:val="22"/>
          <w:lang w:val="sl-SI" w:eastAsia="sl-SI" w:bidi="ar-SA"/>
        </w:rPr>
        <w:t>Predstavniki energetsko intenzivnih podjetij so 2.12.2014, skupaj s številnimi predstavniki sindikatov, podpisali peticijo proti novim dajatvam.</w:t>
      </w:r>
    </w:p>
    <w:p w:rsidR="00314FAD" w:rsidRDefault="00314FAD" w:rsidP="001C0863">
      <w:pPr>
        <w:suppressAutoHyphens w:val="0"/>
        <w:spacing w:before="120" w:after="120"/>
        <w:jc w:val="both"/>
        <w:rPr>
          <w:rFonts w:ascii="Calibri" w:hAnsi="Calibri" w:cs="Times New Roman"/>
          <w:b/>
          <w:bCs/>
          <w:kern w:val="0"/>
          <w:sz w:val="22"/>
          <w:szCs w:val="22"/>
          <w:lang w:val="sl-SI" w:eastAsia="sl-SI" w:bidi="ar-SA"/>
        </w:rPr>
      </w:pPr>
      <w:bookmarkStart w:id="0" w:name="_GoBack"/>
      <w:bookmarkEnd w:id="0"/>
    </w:p>
    <w:p w:rsidR="00314FAD" w:rsidRPr="001C0863" w:rsidRDefault="00314FAD" w:rsidP="001C0863">
      <w:pPr>
        <w:widowControl/>
        <w:suppressAutoHyphens w:val="0"/>
        <w:spacing w:before="120" w:after="0"/>
        <w:jc w:val="both"/>
        <w:rPr>
          <w:rFonts w:ascii="Calibri" w:hAnsi="Calibri" w:cs="Arial"/>
          <w:b/>
          <w:color w:val="2E74B5"/>
          <w:kern w:val="0"/>
          <w:sz w:val="32"/>
          <w:szCs w:val="32"/>
          <w:lang w:val="sl-SI" w:eastAsia="en-US" w:bidi="ar-SA"/>
        </w:rPr>
      </w:pPr>
      <w:r w:rsidRPr="001C0863">
        <w:rPr>
          <w:rFonts w:ascii="Calibri" w:hAnsi="Calibri" w:cs="Arial"/>
          <w:b/>
          <w:color w:val="2E74B5"/>
          <w:kern w:val="0"/>
          <w:sz w:val="32"/>
          <w:szCs w:val="32"/>
          <w:lang w:val="sl-SI" w:eastAsia="en-US" w:bidi="ar-SA"/>
        </w:rPr>
        <w:t xml:space="preserve">PETICIJA </w:t>
      </w:r>
    </w:p>
    <w:p w:rsidR="00314FAD" w:rsidRPr="001C0863" w:rsidRDefault="00314FAD" w:rsidP="001C0863">
      <w:pPr>
        <w:widowControl/>
        <w:suppressAutoHyphens w:val="0"/>
        <w:spacing w:before="120" w:after="0"/>
        <w:jc w:val="both"/>
        <w:rPr>
          <w:rFonts w:ascii="Calibri" w:hAnsi="Calibri" w:cs="Arial"/>
          <w:b/>
          <w:color w:val="2E74B5"/>
          <w:kern w:val="0"/>
          <w:sz w:val="32"/>
          <w:szCs w:val="32"/>
          <w:lang w:val="sl-SI" w:eastAsia="en-US" w:bidi="ar-SA"/>
        </w:rPr>
      </w:pPr>
      <w:r w:rsidRPr="001C0863">
        <w:rPr>
          <w:rFonts w:ascii="Calibri" w:hAnsi="Calibri" w:cs="Arial"/>
          <w:b/>
          <w:color w:val="2E74B5"/>
          <w:kern w:val="0"/>
          <w:sz w:val="32"/>
          <w:szCs w:val="32"/>
          <w:lang w:val="sl-SI" w:eastAsia="en-US" w:bidi="ar-SA"/>
        </w:rPr>
        <w:t xml:space="preserve">41 podpisnikov iz energetsko intenzivnih podjetij in sindikatov  proti novim dajatvam </w:t>
      </w:r>
    </w:p>
    <w:p w:rsidR="00314FAD" w:rsidRDefault="00F95C64" w:rsidP="001C0863">
      <w:pPr>
        <w:suppressAutoHyphens w:val="0"/>
        <w:spacing w:before="120" w:after="120"/>
        <w:jc w:val="both"/>
        <w:rPr>
          <w:rFonts w:ascii="Calibri" w:hAnsi="Calibri" w:cs="Times New Roman"/>
          <w:b/>
          <w:bCs/>
          <w:kern w:val="0"/>
          <w:sz w:val="22"/>
          <w:szCs w:val="22"/>
          <w:lang w:val="sl-SI" w:eastAsia="sl-SI" w:bidi="ar-SA"/>
        </w:rPr>
      </w:pPr>
      <w:r>
        <w:rPr>
          <w:noProof/>
          <w:lang w:val="sl-SI" w:eastAsia="sl-SI" w:bidi="ar-SA"/>
        </w:rPr>
        <w:drawing>
          <wp:inline distT="0" distB="0" distL="0" distR="0">
            <wp:extent cx="4638675" cy="1952625"/>
            <wp:effectExtent l="0" t="0" r="9525"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l="13104" t="11603" r="14455" b="37062"/>
                    <a:stretch>
                      <a:fillRect/>
                    </a:stretch>
                  </pic:blipFill>
                  <pic:spPr bwMode="auto">
                    <a:xfrm>
                      <a:off x="0" y="0"/>
                      <a:ext cx="4638675" cy="1952625"/>
                    </a:xfrm>
                    <a:prstGeom prst="rect">
                      <a:avLst/>
                    </a:prstGeom>
                    <a:noFill/>
                    <a:ln>
                      <a:noFill/>
                    </a:ln>
                  </pic:spPr>
                </pic:pic>
              </a:graphicData>
            </a:graphic>
          </wp:inline>
        </w:drawing>
      </w:r>
    </w:p>
    <w:p w:rsidR="00314FAD" w:rsidRPr="00BD6437" w:rsidRDefault="00F95C64" w:rsidP="001C0863">
      <w:pPr>
        <w:suppressAutoHyphens w:val="0"/>
        <w:spacing w:before="120" w:after="120"/>
        <w:jc w:val="both"/>
        <w:rPr>
          <w:rFonts w:ascii="Calibri" w:hAnsi="Calibri" w:cs="Times New Roman"/>
          <w:b/>
          <w:bCs/>
          <w:kern w:val="0"/>
          <w:sz w:val="22"/>
          <w:szCs w:val="22"/>
          <w:lang w:val="sl-SI" w:eastAsia="sl-SI" w:bidi="ar-SA"/>
        </w:rPr>
      </w:pPr>
      <w:r>
        <w:rPr>
          <w:noProof/>
          <w:lang w:val="sl-SI" w:eastAsia="sl-SI" w:bidi="ar-SA"/>
        </w:rPr>
        <w:lastRenderedPageBreak/>
        <w:drawing>
          <wp:inline distT="0" distB="0" distL="0" distR="0">
            <wp:extent cx="4800600" cy="537210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l="39651" t="16780" r="39651" b="34489"/>
                    <a:stretch>
                      <a:fillRect/>
                    </a:stretch>
                  </pic:blipFill>
                  <pic:spPr bwMode="auto">
                    <a:xfrm>
                      <a:off x="0" y="0"/>
                      <a:ext cx="4800600" cy="5372100"/>
                    </a:xfrm>
                    <a:prstGeom prst="rect">
                      <a:avLst/>
                    </a:prstGeom>
                    <a:noFill/>
                    <a:ln>
                      <a:noFill/>
                    </a:ln>
                  </pic:spPr>
                </pic:pic>
              </a:graphicData>
            </a:graphic>
          </wp:inline>
        </w:drawing>
      </w:r>
    </w:p>
    <w:p w:rsidR="00F95C64" w:rsidRDefault="00F95C64" w:rsidP="00BC4B62">
      <w:pPr>
        <w:widowControl/>
        <w:suppressAutoHyphens w:val="0"/>
        <w:spacing w:before="120" w:after="240"/>
        <w:jc w:val="both"/>
        <w:rPr>
          <w:rFonts w:ascii="Calibri" w:hAnsi="Calibri" w:cs="Arial"/>
          <w:b/>
          <w:color w:val="2E74B5"/>
          <w:kern w:val="0"/>
          <w:sz w:val="32"/>
          <w:szCs w:val="32"/>
          <w:lang w:val="sl-SI" w:eastAsia="en-US" w:bidi="ar-SA"/>
        </w:rPr>
      </w:pPr>
    </w:p>
    <w:p w:rsidR="00314FAD" w:rsidRDefault="00314FAD" w:rsidP="00BC4B62">
      <w:pPr>
        <w:widowControl/>
        <w:suppressAutoHyphens w:val="0"/>
        <w:spacing w:before="120" w:after="240"/>
        <w:jc w:val="both"/>
        <w:rPr>
          <w:rFonts w:ascii="Calibri" w:hAnsi="Calibri" w:cs="Arial"/>
          <w:b/>
          <w:color w:val="2E74B5"/>
          <w:kern w:val="0"/>
          <w:sz w:val="32"/>
          <w:szCs w:val="32"/>
          <w:lang w:val="sl-SI" w:eastAsia="en-US" w:bidi="ar-SA"/>
        </w:rPr>
      </w:pPr>
      <w:r>
        <w:rPr>
          <w:rFonts w:ascii="Calibri" w:hAnsi="Calibri" w:cs="Arial"/>
          <w:b/>
          <w:color w:val="2E74B5"/>
          <w:kern w:val="0"/>
          <w:sz w:val="32"/>
          <w:szCs w:val="32"/>
          <w:lang w:val="sl-SI" w:eastAsia="en-US" w:bidi="ar-SA"/>
        </w:rPr>
        <w:t>IZHODIŠČA</w:t>
      </w:r>
    </w:p>
    <w:p w:rsidR="00314FAD" w:rsidRPr="00431114" w:rsidRDefault="00314FAD" w:rsidP="00BC4B62">
      <w:pPr>
        <w:pStyle w:val="Odstavekseznama"/>
        <w:numPr>
          <w:ilvl w:val="0"/>
          <w:numId w:val="34"/>
        </w:numPr>
        <w:suppressAutoHyphens w:val="0"/>
        <w:spacing w:before="0" w:after="0"/>
        <w:ind w:left="426" w:hanging="426"/>
        <w:jc w:val="both"/>
        <w:rPr>
          <w:rFonts w:ascii="Calibri" w:hAnsi="Calibri" w:cs="Times New Roman"/>
          <w:bCs/>
          <w:kern w:val="0"/>
          <w:sz w:val="22"/>
          <w:szCs w:val="22"/>
          <w:lang w:val="sl-SI" w:eastAsia="sl-SI" w:bidi="ar-SA"/>
        </w:rPr>
      </w:pPr>
      <w:r w:rsidRPr="00431114">
        <w:rPr>
          <w:rFonts w:ascii="Calibri" w:hAnsi="Calibri" w:cs="Arial"/>
          <w:kern w:val="0"/>
          <w:sz w:val="22"/>
          <w:szCs w:val="22"/>
          <w:lang w:val="sl-SI" w:eastAsia="en-US" w:bidi="ar-SA"/>
        </w:rPr>
        <w:t>MOP je v javno razpravo predložilo o</w:t>
      </w:r>
      <w:r w:rsidRPr="00431114">
        <w:rPr>
          <w:rFonts w:ascii="Calibri" w:hAnsi="Calibri" w:cs="Times New Roman"/>
          <w:bCs/>
          <w:kern w:val="0"/>
          <w:sz w:val="22"/>
          <w:szCs w:val="22"/>
          <w:lang w:val="sl-SI" w:eastAsia="sl-SI" w:bidi="ar-SA"/>
        </w:rPr>
        <w:t xml:space="preserve">snutek Uredbe o spremembah in dopolnitvah Uredbe o okoljski dajatvi za obremenjevanje okolja z emisijo ogljikovega dioksida. Uredba se usklajuje z uredbama EU, ki opredeljujeta državne pomoči (pomoč de minimis in skupinske izjeme), hkrati pa  skladno s sklepom Vlade RS določa zmanjšanje oprostitev plačila okoljske dajatve v skupni višini 30 milijonov EUR. </w:t>
      </w:r>
    </w:p>
    <w:p w:rsidR="00314FAD" w:rsidRDefault="00314FAD" w:rsidP="00BC4B62">
      <w:pPr>
        <w:pStyle w:val="Odstavekseznama"/>
        <w:numPr>
          <w:ilvl w:val="0"/>
          <w:numId w:val="34"/>
        </w:numPr>
        <w:suppressAutoHyphens w:val="0"/>
        <w:spacing w:before="0" w:after="0"/>
        <w:ind w:left="426" w:hanging="426"/>
        <w:jc w:val="both"/>
        <w:rPr>
          <w:rFonts w:ascii="Calibri" w:hAnsi="Calibri" w:cs="Times New Roman"/>
          <w:bCs/>
          <w:kern w:val="0"/>
          <w:sz w:val="22"/>
          <w:szCs w:val="22"/>
          <w:lang w:val="sl-SI" w:eastAsia="sl-SI" w:bidi="ar-SA"/>
        </w:rPr>
      </w:pPr>
      <w:r w:rsidRPr="00431114">
        <w:rPr>
          <w:rFonts w:ascii="Calibri" w:hAnsi="Calibri" w:cs="Times New Roman"/>
          <w:bCs/>
          <w:kern w:val="0"/>
          <w:sz w:val="22"/>
          <w:szCs w:val="22"/>
          <w:lang w:val="sl-SI" w:eastAsia="sl-SI" w:bidi="ar-SA"/>
        </w:rPr>
        <w:t xml:space="preserve">Osnutek uredbe </w:t>
      </w:r>
    </w:p>
    <w:p w:rsidR="00314FAD" w:rsidRDefault="00314FAD" w:rsidP="00E47A27">
      <w:pPr>
        <w:pStyle w:val="Odstavekseznama"/>
        <w:numPr>
          <w:ilvl w:val="1"/>
          <w:numId w:val="34"/>
        </w:numPr>
        <w:suppressAutoHyphens w:val="0"/>
        <w:spacing w:before="120" w:after="120"/>
        <w:ind w:left="993" w:hanging="284"/>
        <w:jc w:val="both"/>
        <w:rPr>
          <w:rFonts w:ascii="Calibri" w:hAnsi="Calibri" w:cs="Times New Roman"/>
          <w:bCs/>
          <w:kern w:val="0"/>
          <w:sz w:val="22"/>
          <w:szCs w:val="22"/>
          <w:lang w:val="sl-SI" w:eastAsia="sl-SI" w:bidi="ar-SA"/>
        </w:rPr>
      </w:pPr>
      <w:r w:rsidRPr="00965B29">
        <w:rPr>
          <w:rFonts w:ascii="Calibri" w:hAnsi="Calibri" w:cs="Times New Roman"/>
          <w:bCs/>
          <w:kern w:val="0"/>
          <w:sz w:val="22"/>
          <w:szCs w:val="22"/>
          <w:lang w:val="sl-SI" w:eastAsia="sl-SI" w:bidi="ar-SA"/>
        </w:rPr>
        <w:t xml:space="preserve">predvideva oprostitev dajatve zaradi zgorevanja goriva v </w:t>
      </w:r>
      <w:r w:rsidRPr="00965B29">
        <w:rPr>
          <w:rFonts w:ascii="Calibri" w:hAnsi="Calibri" w:cs="Times New Roman"/>
          <w:b/>
          <w:bCs/>
          <w:kern w:val="0"/>
          <w:sz w:val="22"/>
          <w:szCs w:val="22"/>
          <w:u w:val="single"/>
          <w:lang w:val="sl-SI" w:eastAsia="sl-SI" w:bidi="ar-SA"/>
        </w:rPr>
        <w:t>malih</w:t>
      </w:r>
      <w:r w:rsidRPr="00965B29">
        <w:rPr>
          <w:rFonts w:ascii="Calibri" w:hAnsi="Calibri" w:cs="Times New Roman"/>
          <w:bCs/>
          <w:kern w:val="0"/>
          <w:sz w:val="22"/>
          <w:szCs w:val="22"/>
          <w:lang w:val="sl-SI" w:eastAsia="sl-SI" w:bidi="ar-SA"/>
        </w:rPr>
        <w:t xml:space="preserve"> in </w:t>
      </w:r>
      <w:r w:rsidRPr="00965B29">
        <w:rPr>
          <w:rFonts w:ascii="Calibri" w:hAnsi="Calibri" w:cs="Times New Roman"/>
          <w:b/>
          <w:bCs/>
          <w:kern w:val="0"/>
          <w:sz w:val="22"/>
          <w:szCs w:val="22"/>
          <w:u w:val="single"/>
          <w:lang w:val="sl-SI" w:eastAsia="sl-SI" w:bidi="ar-SA"/>
        </w:rPr>
        <w:t>de</w:t>
      </w:r>
      <w:r w:rsidR="00264EE7">
        <w:rPr>
          <w:rFonts w:ascii="Calibri" w:hAnsi="Calibri" w:cs="Times New Roman"/>
          <w:b/>
          <w:bCs/>
          <w:kern w:val="0"/>
          <w:sz w:val="22"/>
          <w:szCs w:val="22"/>
          <w:u w:val="single"/>
          <w:lang w:val="sl-SI" w:eastAsia="sl-SI" w:bidi="ar-SA"/>
        </w:rPr>
        <w:t xml:space="preserve"> </w:t>
      </w:r>
      <w:r w:rsidRPr="00965B29">
        <w:rPr>
          <w:rFonts w:ascii="Calibri" w:hAnsi="Calibri" w:cs="Times New Roman"/>
          <w:b/>
          <w:bCs/>
          <w:kern w:val="0"/>
          <w:sz w:val="22"/>
          <w:szCs w:val="22"/>
          <w:u w:val="single"/>
          <w:lang w:val="sl-SI" w:eastAsia="sl-SI" w:bidi="ar-SA"/>
        </w:rPr>
        <w:t>minimis napravah</w:t>
      </w:r>
      <w:r w:rsidRPr="00965B29">
        <w:rPr>
          <w:rFonts w:ascii="Calibri" w:hAnsi="Calibri" w:cs="Times New Roman"/>
          <w:bCs/>
          <w:kern w:val="0"/>
          <w:sz w:val="22"/>
          <w:szCs w:val="22"/>
          <w:lang w:val="sl-SI" w:eastAsia="sl-SI" w:bidi="ar-SA"/>
        </w:rPr>
        <w:t xml:space="preserve">, medtem, ko je za </w:t>
      </w:r>
      <w:r w:rsidRPr="00965B29">
        <w:rPr>
          <w:rFonts w:ascii="Calibri" w:hAnsi="Calibri" w:cs="Times New Roman"/>
          <w:b/>
          <w:bCs/>
          <w:kern w:val="0"/>
          <w:sz w:val="22"/>
          <w:szCs w:val="22"/>
          <w:u w:val="single"/>
          <w:lang w:val="sl-SI" w:eastAsia="sl-SI" w:bidi="ar-SA"/>
        </w:rPr>
        <w:t>naprave</w:t>
      </w:r>
      <w:r w:rsidRPr="00965B29">
        <w:rPr>
          <w:rFonts w:ascii="Calibri" w:hAnsi="Calibri" w:cs="Times New Roman"/>
          <w:bCs/>
          <w:kern w:val="0"/>
          <w:sz w:val="22"/>
          <w:szCs w:val="22"/>
          <w:lang w:val="sl-SI" w:eastAsia="sl-SI" w:bidi="ar-SA"/>
        </w:rPr>
        <w:t xml:space="preserve"> (naprave vključene v shemo trgovanja z emisijami toplogrednih plinov - EU ETS) predvidena oprostitev v višini 70 odstotkov oziroma obremenitev v višini 30 odstotkov dajatve. Uredba naj bi začela veljati 1. februarja 2015</w:t>
      </w:r>
      <w:r>
        <w:rPr>
          <w:rFonts w:ascii="Calibri" w:hAnsi="Calibri" w:cs="Times New Roman"/>
          <w:bCs/>
          <w:kern w:val="0"/>
          <w:sz w:val="22"/>
          <w:szCs w:val="22"/>
          <w:lang w:val="sl-SI" w:eastAsia="sl-SI" w:bidi="ar-SA"/>
        </w:rPr>
        <w:t>;</w:t>
      </w:r>
    </w:p>
    <w:p w:rsidR="00314FAD" w:rsidRPr="00965B29" w:rsidRDefault="00314FAD" w:rsidP="00E47A27">
      <w:pPr>
        <w:pStyle w:val="Odstavekseznama"/>
        <w:numPr>
          <w:ilvl w:val="1"/>
          <w:numId w:val="34"/>
        </w:numPr>
        <w:suppressAutoHyphens w:val="0"/>
        <w:spacing w:before="120" w:after="120"/>
        <w:ind w:left="993" w:hanging="284"/>
        <w:jc w:val="both"/>
        <w:rPr>
          <w:rFonts w:ascii="Calibri" w:hAnsi="Calibri" w:cs="Times New Roman"/>
          <w:bCs/>
          <w:kern w:val="0"/>
          <w:sz w:val="22"/>
          <w:szCs w:val="22"/>
          <w:lang w:val="sl-SI" w:eastAsia="sl-SI" w:bidi="ar-SA"/>
        </w:rPr>
      </w:pPr>
      <w:r w:rsidRPr="00965B29">
        <w:rPr>
          <w:rFonts w:ascii="Calibri" w:hAnsi="Calibri" w:cs="Times New Roman"/>
          <w:bCs/>
          <w:kern w:val="0"/>
          <w:sz w:val="22"/>
          <w:szCs w:val="22"/>
          <w:lang w:val="sl-SI" w:eastAsia="sl-SI" w:bidi="ar-SA"/>
        </w:rPr>
        <w:t xml:space="preserve">ne ureja vprašanja oprostitve plačila dajatve po 31. decembru 2014, ko preneha veljati shema državne pomoči </w:t>
      </w:r>
      <w:r w:rsidRPr="00965B29">
        <w:rPr>
          <w:rFonts w:ascii="Calibri" w:hAnsi="Calibri" w:cs="Arial"/>
          <w:bCs/>
          <w:kern w:val="0"/>
          <w:sz w:val="22"/>
          <w:szCs w:val="22"/>
          <w:lang w:val="sl-SI" w:eastAsia="en-US" w:bidi="ar-SA"/>
        </w:rPr>
        <w:t>BE01-2399253-2013</w:t>
      </w:r>
      <w:r w:rsidRPr="00965B29">
        <w:rPr>
          <w:rFonts w:ascii="Calibri" w:hAnsi="Calibri" w:cs="Times New Roman"/>
          <w:bCs/>
          <w:kern w:val="0"/>
          <w:sz w:val="22"/>
          <w:szCs w:val="22"/>
          <w:lang w:val="sl-SI" w:eastAsia="sl-SI" w:bidi="ar-SA"/>
        </w:rPr>
        <w:t xml:space="preserve">, do uveljavitve nove uredbe (torej glede na osnutek uredbe </w:t>
      </w:r>
      <w:r w:rsidRPr="00965B29">
        <w:rPr>
          <w:rFonts w:ascii="Calibri" w:hAnsi="Calibri" w:cs="Times New Roman"/>
          <w:bCs/>
          <w:kern w:val="0"/>
          <w:sz w:val="22"/>
          <w:szCs w:val="22"/>
          <w:lang w:val="sl-SI" w:eastAsia="sl-SI" w:bidi="ar-SA"/>
        </w:rPr>
        <w:lastRenderedPageBreak/>
        <w:t xml:space="preserve">od 1.1.2015 do 1.2.2015), kar pomeni dodatno obremenitev podjetij v višini okoli </w:t>
      </w:r>
      <w:r w:rsidRPr="00965B29">
        <w:rPr>
          <w:rFonts w:ascii="Calibri" w:hAnsi="Calibri" w:cs="Arial"/>
          <w:b/>
          <w:kern w:val="0"/>
          <w:sz w:val="22"/>
          <w:szCs w:val="22"/>
          <w:lang w:val="sl-SI" w:eastAsia="en-US" w:bidi="ar-SA"/>
        </w:rPr>
        <w:t>9 milijonov evrov na mesec</w:t>
      </w:r>
      <w:r>
        <w:rPr>
          <w:rFonts w:ascii="Calibri" w:hAnsi="Calibri" w:cs="Arial"/>
          <w:b/>
          <w:kern w:val="0"/>
          <w:sz w:val="22"/>
          <w:szCs w:val="22"/>
          <w:lang w:val="sl-SI" w:eastAsia="en-US" w:bidi="ar-SA"/>
        </w:rPr>
        <w:t>;</w:t>
      </w:r>
    </w:p>
    <w:p w:rsidR="00314FAD" w:rsidRDefault="00314FAD" w:rsidP="00E47A27">
      <w:pPr>
        <w:pStyle w:val="Odstavekseznama"/>
        <w:numPr>
          <w:ilvl w:val="1"/>
          <w:numId w:val="34"/>
        </w:numPr>
        <w:suppressAutoHyphens w:val="0"/>
        <w:spacing w:before="120" w:after="120"/>
        <w:ind w:left="993" w:hanging="284"/>
        <w:jc w:val="both"/>
        <w:rPr>
          <w:rFonts w:ascii="Calibri" w:hAnsi="Calibri" w:cs="Times New Roman"/>
          <w:bCs/>
          <w:kern w:val="0"/>
          <w:sz w:val="22"/>
          <w:szCs w:val="22"/>
          <w:lang w:val="sl-SI" w:eastAsia="sl-SI" w:bidi="ar-SA"/>
        </w:rPr>
      </w:pPr>
      <w:r>
        <w:rPr>
          <w:rFonts w:ascii="Calibri" w:hAnsi="Calibri" w:cs="Times New Roman"/>
          <w:bCs/>
          <w:kern w:val="0"/>
          <w:sz w:val="22"/>
          <w:szCs w:val="22"/>
          <w:lang w:val="sl-SI" w:eastAsia="sl-SI" w:bidi="ar-SA"/>
        </w:rPr>
        <w:t>ne vključuje učinkov na gospodarstvo kot celoto, na posamezne sektorje gospodarstva, kaj šele na posamezna podjetja;</w:t>
      </w:r>
    </w:p>
    <w:p w:rsidR="00314FAD" w:rsidRDefault="00314FAD" w:rsidP="00E47A27">
      <w:pPr>
        <w:pStyle w:val="Odstavekseznama"/>
        <w:numPr>
          <w:ilvl w:val="1"/>
          <w:numId w:val="34"/>
        </w:numPr>
        <w:suppressAutoHyphens w:val="0"/>
        <w:spacing w:before="120" w:after="120"/>
        <w:ind w:left="993" w:hanging="284"/>
        <w:jc w:val="both"/>
        <w:rPr>
          <w:rFonts w:ascii="Calibri" w:hAnsi="Calibri" w:cs="Times New Roman"/>
          <w:bCs/>
          <w:kern w:val="0"/>
          <w:sz w:val="22"/>
          <w:szCs w:val="22"/>
          <w:lang w:val="sl-SI" w:eastAsia="sl-SI" w:bidi="ar-SA"/>
        </w:rPr>
      </w:pPr>
      <w:r>
        <w:rPr>
          <w:rFonts w:ascii="Calibri" w:hAnsi="Calibri" w:cs="Times New Roman"/>
          <w:bCs/>
          <w:kern w:val="0"/>
          <w:sz w:val="22"/>
          <w:szCs w:val="22"/>
          <w:lang w:val="sl-SI" w:eastAsia="sl-SI" w:bidi="ar-SA"/>
        </w:rPr>
        <w:t>ne vključuje ocene učinkov na javne finance, skladnosti z EU direktivami, učinkov na okolje, socialo in odpravo administrativnih ovir;</w:t>
      </w:r>
    </w:p>
    <w:p w:rsidR="00314FAD" w:rsidRPr="00124AA4" w:rsidRDefault="00314FAD" w:rsidP="00E47A27">
      <w:pPr>
        <w:pStyle w:val="Odstavekseznama"/>
        <w:widowControl/>
        <w:numPr>
          <w:ilvl w:val="1"/>
          <w:numId w:val="34"/>
        </w:numPr>
        <w:suppressAutoHyphens w:val="0"/>
        <w:spacing w:before="120" w:after="120"/>
        <w:ind w:left="993" w:hanging="284"/>
        <w:jc w:val="both"/>
        <w:rPr>
          <w:rFonts w:ascii="Calibri" w:hAnsi="Calibri" w:cs="Arial"/>
          <w:b/>
          <w:bCs/>
          <w:kern w:val="0"/>
          <w:sz w:val="22"/>
          <w:szCs w:val="22"/>
          <w:lang w:val="sl-SI" w:eastAsia="sl-SI" w:bidi="ar-SA"/>
        </w:rPr>
      </w:pPr>
      <w:r w:rsidRPr="00124AA4">
        <w:rPr>
          <w:rFonts w:ascii="Calibri" w:hAnsi="Calibri" w:cs="Times New Roman"/>
          <w:bCs/>
          <w:kern w:val="0"/>
          <w:sz w:val="22"/>
          <w:szCs w:val="22"/>
          <w:lang w:val="sl-SI" w:eastAsia="sl-SI" w:bidi="ar-SA"/>
        </w:rPr>
        <w:t>ne vključuje primerjave obremenitev iz tega naslova s ključnimi članicami EU-28;</w:t>
      </w:r>
      <w:r w:rsidR="00264EE7">
        <w:rPr>
          <w:rFonts w:ascii="Calibri" w:hAnsi="Calibri" w:cs="Times New Roman"/>
          <w:bCs/>
          <w:kern w:val="0"/>
          <w:sz w:val="22"/>
          <w:szCs w:val="22"/>
          <w:lang w:val="sl-SI" w:eastAsia="sl-SI" w:bidi="ar-SA"/>
        </w:rPr>
        <w:t xml:space="preserve"> </w:t>
      </w:r>
      <w:r w:rsidRPr="00124AA4">
        <w:rPr>
          <w:rFonts w:ascii="Calibri" w:hAnsi="Calibri" w:cs="Times New Roman"/>
          <w:bCs/>
          <w:kern w:val="0"/>
          <w:sz w:val="22"/>
          <w:szCs w:val="22"/>
          <w:lang w:val="sl-SI" w:eastAsia="sl-SI" w:bidi="ar-SA"/>
        </w:rPr>
        <w:t>iz besedila uredbe niti iz obrazložitve k uredbi ni razvidno, kaj za uveljavitev oprostitve pomeni zahteva EK v zvezi z minimalno dajatvijo, ki je pogoj za odobritev sheme državnih pomoči, oziroma kateri energenti se pri tem upoštevajo (trošarine, CO</w:t>
      </w:r>
      <w:r w:rsidRPr="00124AA4">
        <w:rPr>
          <w:rFonts w:ascii="Calibri" w:hAnsi="Calibri" w:cs="Times New Roman"/>
          <w:bCs/>
          <w:kern w:val="0"/>
          <w:sz w:val="22"/>
          <w:szCs w:val="22"/>
          <w:vertAlign w:val="subscript"/>
          <w:lang w:val="sl-SI" w:eastAsia="sl-SI" w:bidi="ar-SA"/>
        </w:rPr>
        <w:t>2</w:t>
      </w:r>
      <w:r w:rsidRPr="00124AA4">
        <w:rPr>
          <w:rFonts w:ascii="Calibri" w:hAnsi="Calibri" w:cs="Times New Roman"/>
          <w:bCs/>
          <w:kern w:val="0"/>
          <w:sz w:val="22"/>
          <w:szCs w:val="22"/>
          <w:lang w:val="sl-SI" w:eastAsia="sl-SI" w:bidi="ar-SA"/>
        </w:rPr>
        <w:t>, URE, OVE …) in kakšne so obremenitve, ki iz tega izhajajo za gospodarstvo</w:t>
      </w:r>
      <w:r>
        <w:rPr>
          <w:rFonts w:ascii="Calibri" w:hAnsi="Calibri" w:cs="Times New Roman"/>
          <w:bCs/>
          <w:kern w:val="0"/>
          <w:sz w:val="22"/>
          <w:szCs w:val="22"/>
          <w:lang w:val="sl-SI" w:eastAsia="sl-SI" w:bidi="ar-SA"/>
        </w:rPr>
        <w:t>;</w:t>
      </w:r>
    </w:p>
    <w:p w:rsidR="00314FAD" w:rsidRPr="00A130B5" w:rsidRDefault="00314FAD" w:rsidP="00E47A27">
      <w:pPr>
        <w:pStyle w:val="Odstavekseznama"/>
        <w:widowControl/>
        <w:numPr>
          <w:ilvl w:val="1"/>
          <w:numId w:val="34"/>
        </w:numPr>
        <w:suppressAutoHyphens w:val="0"/>
        <w:spacing w:before="120" w:after="120"/>
        <w:ind w:left="993" w:hanging="284"/>
        <w:jc w:val="both"/>
        <w:rPr>
          <w:rFonts w:ascii="Calibri" w:hAnsi="Calibri" w:cs="Arial"/>
          <w:bCs/>
          <w:kern w:val="0"/>
          <w:sz w:val="22"/>
          <w:szCs w:val="22"/>
          <w:lang w:val="sl-SI" w:eastAsia="sl-SI" w:bidi="ar-SA"/>
        </w:rPr>
      </w:pPr>
      <w:r w:rsidRPr="00A130B5">
        <w:rPr>
          <w:rFonts w:ascii="Calibri" w:hAnsi="Calibri" w:cs="Times New Roman"/>
          <w:bCs/>
          <w:kern w:val="0"/>
          <w:sz w:val="22"/>
          <w:szCs w:val="22"/>
          <w:lang w:val="sl-SI" w:eastAsia="sl-SI" w:bidi="ar-SA"/>
        </w:rPr>
        <w:t>g</w:t>
      </w:r>
      <w:r w:rsidRPr="00A130B5">
        <w:rPr>
          <w:rFonts w:ascii="Calibri" w:hAnsi="Calibri" w:cs="Arial"/>
          <w:bCs/>
          <w:kern w:val="0"/>
          <w:sz w:val="22"/>
          <w:szCs w:val="22"/>
          <w:lang w:val="sl-SI" w:eastAsia="sl-SI" w:bidi="ar-SA"/>
        </w:rPr>
        <w:t xml:space="preserve">ospodarstvu nalaga </w:t>
      </w:r>
      <w:r w:rsidRPr="004E32B1">
        <w:rPr>
          <w:rFonts w:ascii="Calibri" w:hAnsi="Calibri" w:cs="Arial"/>
          <w:bCs/>
          <w:kern w:val="0"/>
          <w:sz w:val="22"/>
          <w:szCs w:val="22"/>
          <w:lang w:val="sl-SI" w:eastAsia="sl-SI" w:bidi="ar-SA"/>
        </w:rPr>
        <w:t>dodatn</w:t>
      </w:r>
      <w:r w:rsidRPr="00A130B5">
        <w:rPr>
          <w:rFonts w:ascii="Calibri" w:hAnsi="Calibri" w:cs="Arial"/>
          <w:bCs/>
          <w:kern w:val="0"/>
          <w:sz w:val="22"/>
          <w:szCs w:val="22"/>
          <w:lang w:val="sl-SI" w:eastAsia="sl-SI" w:bidi="ar-SA"/>
        </w:rPr>
        <w:t>e</w:t>
      </w:r>
      <w:r w:rsidRPr="004E32B1">
        <w:rPr>
          <w:rFonts w:ascii="Calibri" w:hAnsi="Calibri" w:cs="Arial"/>
          <w:bCs/>
          <w:kern w:val="0"/>
          <w:sz w:val="22"/>
          <w:szCs w:val="22"/>
          <w:lang w:val="sl-SI" w:eastAsia="sl-SI" w:bidi="ar-SA"/>
        </w:rPr>
        <w:t xml:space="preserve"> obremenitv</w:t>
      </w:r>
      <w:r w:rsidRPr="00A130B5">
        <w:rPr>
          <w:rFonts w:ascii="Calibri" w:hAnsi="Calibri" w:cs="Arial"/>
          <w:bCs/>
          <w:kern w:val="0"/>
          <w:sz w:val="22"/>
          <w:szCs w:val="22"/>
          <w:lang w:val="sl-SI" w:eastAsia="sl-SI" w:bidi="ar-SA"/>
        </w:rPr>
        <w:t>e na osnovi v</w:t>
      </w:r>
      <w:r w:rsidRPr="00A130B5">
        <w:rPr>
          <w:rFonts w:ascii="Calibri" w:hAnsi="Calibri" w:cs="Times New Roman"/>
          <w:bCs/>
          <w:kern w:val="0"/>
          <w:sz w:val="22"/>
          <w:szCs w:val="22"/>
          <w:lang w:val="sl-SI" w:eastAsia="sl-SI" w:bidi="ar-SA"/>
        </w:rPr>
        <w:t>rste pomanjkljivosti z vidika osnov in postopkov za njihovo uveljavitev</w:t>
      </w:r>
      <w:r>
        <w:rPr>
          <w:rFonts w:ascii="Calibri" w:hAnsi="Calibri" w:cs="Times New Roman"/>
          <w:bCs/>
          <w:kern w:val="0"/>
          <w:sz w:val="22"/>
          <w:szCs w:val="22"/>
          <w:lang w:val="sl-SI" w:eastAsia="sl-SI" w:bidi="ar-SA"/>
        </w:rPr>
        <w:t>, ki neposredno ogroža najmanj 1.100 delovnih mest.</w:t>
      </w:r>
    </w:p>
    <w:p w:rsidR="00314FAD" w:rsidRDefault="00314FAD" w:rsidP="00BC4B62">
      <w:pPr>
        <w:widowControl/>
        <w:suppressAutoHyphens w:val="0"/>
        <w:spacing w:before="120" w:after="240"/>
        <w:jc w:val="both"/>
        <w:rPr>
          <w:rFonts w:ascii="Calibri" w:hAnsi="Calibri" w:cs="Times New Roman"/>
          <w:b/>
          <w:bCs/>
          <w:kern w:val="0"/>
          <w:sz w:val="22"/>
          <w:szCs w:val="22"/>
          <w:lang w:val="sl-SI" w:eastAsia="sl-SI" w:bidi="ar-SA"/>
        </w:rPr>
      </w:pPr>
    </w:p>
    <w:p w:rsidR="00314FAD" w:rsidRDefault="00314FAD" w:rsidP="00BC4B62">
      <w:pPr>
        <w:widowControl/>
        <w:suppressAutoHyphens w:val="0"/>
        <w:spacing w:before="120" w:after="240"/>
        <w:jc w:val="both"/>
        <w:rPr>
          <w:rFonts w:ascii="Calibri" w:hAnsi="Calibri" w:cs="Arial"/>
          <w:b/>
          <w:color w:val="2E74B5"/>
          <w:kern w:val="0"/>
          <w:sz w:val="32"/>
          <w:szCs w:val="32"/>
          <w:lang w:val="sl-SI" w:eastAsia="en-US" w:bidi="ar-SA"/>
        </w:rPr>
      </w:pPr>
      <w:r w:rsidRPr="00BC4B62">
        <w:rPr>
          <w:rFonts w:ascii="Calibri" w:hAnsi="Calibri" w:cs="Arial"/>
          <w:b/>
          <w:color w:val="2E74B5"/>
          <w:kern w:val="0"/>
          <w:sz w:val="32"/>
          <w:szCs w:val="32"/>
          <w:lang w:val="sl-SI" w:eastAsia="en-US" w:bidi="ar-SA"/>
        </w:rPr>
        <w:t>UTEMELJITEV</w:t>
      </w:r>
    </w:p>
    <w:p w:rsidR="00314FAD" w:rsidRDefault="00314FAD" w:rsidP="002113BD">
      <w:pPr>
        <w:numPr>
          <w:ilvl w:val="0"/>
          <w:numId w:val="35"/>
        </w:numPr>
        <w:suppressAutoHyphens w:val="0"/>
        <w:spacing w:before="120" w:after="120"/>
        <w:ind w:left="357" w:hanging="357"/>
        <w:jc w:val="both"/>
        <w:rPr>
          <w:rFonts w:ascii="Calibri" w:hAnsi="Calibri" w:cs="Times New Roman"/>
          <w:bCs/>
          <w:kern w:val="0"/>
          <w:sz w:val="22"/>
          <w:szCs w:val="22"/>
          <w:lang w:val="sl-SI" w:eastAsia="sl-SI" w:bidi="ar-SA"/>
        </w:rPr>
      </w:pPr>
      <w:r w:rsidRPr="00E65628">
        <w:rPr>
          <w:rFonts w:ascii="Calibri" w:hAnsi="Calibri" w:cs="Times New Roman"/>
          <w:bCs/>
          <w:kern w:val="0"/>
          <w:sz w:val="22"/>
          <w:szCs w:val="22"/>
          <w:lang w:val="sl-SI" w:eastAsia="sl-SI" w:bidi="ar-SA"/>
        </w:rPr>
        <w:t>Podjetja, ki so v skladu s pravili EU vključena v shemo trgovanja z emisijami EU ETS, so podvržena pravilom trgovanja in sprememb na tem področju po pravilih EU. Z Uredbo o CO</w:t>
      </w:r>
      <w:r w:rsidRPr="00E65628">
        <w:rPr>
          <w:rFonts w:ascii="Calibri" w:hAnsi="Calibri" w:cs="Times New Roman"/>
          <w:bCs/>
          <w:kern w:val="0"/>
          <w:sz w:val="22"/>
          <w:szCs w:val="22"/>
          <w:vertAlign w:val="subscript"/>
          <w:lang w:val="sl-SI" w:eastAsia="sl-SI" w:bidi="ar-SA"/>
        </w:rPr>
        <w:t>2</w:t>
      </w:r>
      <w:r w:rsidRPr="00E65628">
        <w:rPr>
          <w:rFonts w:ascii="Calibri" w:hAnsi="Calibri" w:cs="Times New Roman"/>
          <w:bCs/>
          <w:kern w:val="0"/>
          <w:sz w:val="22"/>
          <w:szCs w:val="22"/>
          <w:lang w:val="sl-SI" w:eastAsia="sl-SI" w:bidi="ar-SA"/>
        </w:rPr>
        <w:t xml:space="preserve"> dajatvi bi bila ta podjetja za emisije, v katere zmanjšanje podjetja vlagajo veliko znanja in sredstev, dodatno obremenjena še z nacionalnim ukrepom, torej so dvakrat obremenjena, kar jih postavlja v nekonkurenčen položaj tako na domačem kot na tujem trgu. </w:t>
      </w:r>
    </w:p>
    <w:p w:rsidR="00314FAD" w:rsidRDefault="00314FAD" w:rsidP="002113BD">
      <w:pPr>
        <w:numPr>
          <w:ilvl w:val="0"/>
          <w:numId w:val="35"/>
        </w:numPr>
        <w:suppressAutoHyphens w:val="0"/>
        <w:spacing w:before="120" w:after="120"/>
        <w:ind w:left="357" w:hanging="357"/>
        <w:jc w:val="both"/>
        <w:rPr>
          <w:rFonts w:ascii="Calibri" w:hAnsi="Calibri" w:cs="Times New Roman"/>
          <w:bCs/>
          <w:kern w:val="0"/>
          <w:sz w:val="22"/>
          <w:szCs w:val="22"/>
          <w:lang w:val="sl-SI" w:eastAsia="sl-SI" w:bidi="ar-SA"/>
        </w:rPr>
      </w:pPr>
      <w:r w:rsidRPr="002113BD">
        <w:rPr>
          <w:rFonts w:ascii="Calibri" w:hAnsi="Calibri" w:cs="Times New Roman"/>
          <w:bCs/>
          <w:kern w:val="0"/>
          <w:sz w:val="22"/>
          <w:szCs w:val="22"/>
          <w:lang w:val="sl-SI" w:eastAsia="sl-SI" w:bidi="ar-SA"/>
        </w:rPr>
        <w:t>Opozarjamo na stališče</w:t>
      </w:r>
      <w:r>
        <w:rPr>
          <w:rStyle w:val="Sprotnaopomba-sklic"/>
          <w:rFonts w:cs="Mangal"/>
        </w:rPr>
        <w:footnoteReference w:id="1"/>
      </w:r>
      <w:r w:rsidRPr="002113BD">
        <w:rPr>
          <w:rFonts w:ascii="Calibri" w:hAnsi="Calibri" w:cs="Times New Roman"/>
          <w:bCs/>
          <w:kern w:val="0"/>
          <w:sz w:val="22"/>
          <w:szCs w:val="22"/>
          <w:lang w:val="sl-SI" w:eastAsia="sl-SI" w:bidi="ar-SA"/>
        </w:rPr>
        <w:t xml:space="preserve">, izoblikovano ob pripravi sprememb Direktive </w:t>
      </w:r>
      <w:r w:rsidRPr="00D15B24">
        <w:rPr>
          <w:lang w:val="sl-SI"/>
        </w:rPr>
        <w:t xml:space="preserve">2003/96/ES o prestrukturiranju okvira Skupnosti za obdavčitev energentov in električne energije (COM(2011)0169 – C7-0105/2011 – 2011/0092(CNS)), da </w:t>
      </w:r>
      <w:r w:rsidRPr="002113BD">
        <w:rPr>
          <w:rFonts w:ascii="Calibri" w:hAnsi="Calibri" w:cs="Times New Roman"/>
          <w:bCs/>
          <w:kern w:val="0"/>
          <w:sz w:val="22"/>
          <w:szCs w:val="22"/>
          <w:lang w:val="sl-SI" w:eastAsia="sl-SI" w:bidi="ar-SA"/>
        </w:rPr>
        <w:t>se obdavčitev CO</w:t>
      </w:r>
      <w:r w:rsidRPr="00F95C64">
        <w:rPr>
          <w:rFonts w:ascii="Calibri" w:hAnsi="Calibri" w:cs="Times New Roman"/>
          <w:bCs/>
          <w:kern w:val="0"/>
          <w:sz w:val="22"/>
          <w:szCs w:val="22"/>
          <w:vertAlign w:val="subscript"/>
          <w:lang w:val="sl-SI" w:eastAsia="sl-SI" w:bidi="ar-SA"/>
        </w:rPr>
        <w:t>2</w:t>
      </w:r>
      <w:r w:rsidRPr="002113BD">
        <w:rPr>
          <w:rFonts w:ascii="Calibri" w:hAnsi="Calibri" w:cs="Times New Roman"/>
          <w:bCs/>
          <w:kern w:val="0"/>
          <w:sz w:val="22"/>
          <w:szCs w:val="22"/>
          <w:lang w:val="sl-SI" w:eastAsia="sl-SI" w:bidi="ar-SA"/>
        </w:rPr>
        <w:t xml:space="preserve"> ne sme uporabljati za neposredno ali posredno porabo v napravah, ki so vključene v sistem Unije</w:t>
      </w:r>
      <w:r>
        <w:rPr>
          <w:rFonts w:ascii="Calibri" w:hAnsi="Calibri" w:cs="Times New Roman"/>
          <w:bCs/>
          <w:kern w:val="0"/>
          <w:sz w:val="22"/>
          <w:szCs w:val="22"/>
          <w:lang w:val="sl-SI" w:eastAsia="sl-SI" w:bidi="ar-SA"/>
        </w:rPr>
        <w:t xml:space="preserve"> (EU-ETS)</w:t>
      </w:r>
      <w:r w:rsidRPr="002113BD">
        <w:rPr>
          <w:rFonts w:ascii="Calibri" w:hAnsi="Calibri" w:cs="Times New Roman"/>
          <w:bCs/>
          <w:kern w:val="0"/>
          <w:sz w:val="22"/>
          <w:szCs w:val="22"/>
          <w:lang w:val="sl-SI" w:eastAsia="sl-SI" w:bidi="ar-SA"/>
        </w:rPr>
        <w:t>. Dvojna obremenitev v obliki dvojnega obdavčevanja in podvajanja predpisov bi povzročila izkrivljanje konkurence, zato jo je treba izključiti.</w:t>
      </w:r>
    </w:p>
    <w:p w:rsidR="00314FAD" w:rsidRDefault="00314FAD" w:rsidP="00507F54">
      <w:pPr>
        <w:suppressAutoHyphens w:val="0"/>
        <w:spacing w:before="120" w:after="120"/>
        <w:ind w:left="357"/>
        <w:jc w:val="both"/>
        <w:rPr>
          <w:rFonts w:ascii="Calibri" w:hAnsi="Calibri" w:cs="Times New Roman"/>
          <w:bCs/>
          <w:kern w:val="0"/>
          <w:sz w:val="22"/>
          <w:szCs w:val="22"/>
          <w:lang w:val="sl-SI" w:eastAsia="sl-SI" w:bidi="ar-SA"/>
        </w:rPr>
      </w:pPr>
    </w:p>
    <w:p w:rsidR="00314FAD" w:rsidRPr="00C254D1" w:rsidRDefault="00314FAD" w:rsidP="00C254D1">
      <w:pPr>
        <w:numPr>
          <w:ilvl w:val="0"/>
          <w:numId w:val="35"/>
        </w:numPr>
        <w:suppressAutoHyphens w:val="0"/>
        <w:spacing w:before="120" w:after="120"/>
        <w:jc w:val="both"/>
        <w:rPr>
          <w:rFonts w:ascii="Calibri" w:hAnsi="Calibri" w:cs="Times New Roman"/>
          <w:bCs/>
          <w:kern w:val="0"/>
          <w:sz w:val="22"/>
          <w:szCs w:val="22"/>
          <w:lang w:val="sl-SI" w:eastAsia="sl-SI" w:bidi="ar-SA"/>
        </w:rPr>
      </w:pPr>
      <w:r w:rsidRPr="00C254D1">
        <w:rPr>
          <w:rFonts w:ascii="Calibri" w:hAnsi="Calibri" w:cs="Times New Roman"/>
          <w:bCs/>
          <w:kern w:val="0"/>
          <w:sz w:val="22"/>
          <w:szCs w:val="22"/>
          <w:lang w:val="sl-SI" w:eastAsia="sl-SI" w:bidi="ar-SA"/>
        </w:rPr>
        <w:t>Energetsko intenzivna industrija je bila v obdobju 2010-2014 drastično obremenjena. Trošarina na elektriko se</w:t>
      </w:r>
      <w:r w:rsidR="00264EE7">
        <w:rPr>
          <w:rFonts w:ascii="Calibri" w:hAnsi="Calibri" w:cs="Times New Roman"/>
          <w:bCs/>
          <w:kern w:val="0"/>
          <w:sz w:val="22"/>
          <w:szCs w:val="22"/>
          <w:lang w:val="sl-SI" w:eastAsia="sl-SI" w:bidi="ar-SA"/>
        </w:rPr>
        <w:t xml:space="preserve"> </w:t>
      </w:r>
      <w:r w:rsidRPr="00C254D1">
        <w:rPr>
          <w:rFonts w:ascii="Calibri" w:hAnsi="Calibri" w:cs="Times New Roman"/>
          <w:bCs/>
          <w:kern w:val="0"/>
          <w:sz w:val="22"/>
          <w:szCs w:val="22"/>
          <w:lang w:val="sl-SI" w:eastAsia="sl-SI" w:bidi="ar-SA"/>
        </w:rPr>
        <w:t xml:space="preserve">je povečala za </w:t>
      </w:r>
      <w:r w:rsidRPr="00264EE7">
        <w:rPr>
          <w:rFonts w:ascii="Calibri" w:hAnsi="Calibri" w:cs="Times New Roman"/>
          <w:bCs/>
          <w:kern w:val="0"/>
          <w:sz w:val="22"/>
          <w:szCs w:val="22"/>
          <w:lang w:val="sl-SI" w:eastAsia="sl-SI" w:bidi="ar-SA"/>
        </w:rPr>
        <w:t xml:space="preserve">preko </w:t>
      </w:r>
      <w:r w:rsidRPr="00F95C64">
        <w:rPr>
          <w:rFonts w:ascii="Calibri" w:hAnsi="Calibri" w:cs="Times New Roman"/>
          <w:bCs/>
          <w:iCs/>
          <w:kern w:val="0"/>
          <w:sz w:val="22"/>
          <w:szCs w:val="22"/>
          <w:lang w:val="sl-SI" w:eastAsia="sl-SI" w:bidi="ar-SA"/>
        </w:rPr>
        <w:t>500 %</w:t>
      </w:r>
      <w:r w:rsidRPr="00264EE7">
        <w:rPr>
          <w:rFonts w:ascii="Calibri" w:hAnsi="Calibri" w:cs="Times New Roman"/>
          <w:bCs/>
          <w:kern w:val="0"/>
          <w:sz w:val="22"/>
          <w:szCs w:val="22"/>
          <w:lang w:val="sl-SI" w:eastAsia="sl-SI" w:bidi="ar-SA"/>
        </w:rPr>
        <w:t xml:space="preserve">, trošarina na plin - pogonsko gorivo za  </w:t>
      </w:r>
      <w:r w:rsidRPr="00F95C64">
        <w:rPr>
          <w:rFonts w:ascii="Calibri" w:hAnsi="Calibri" w:cs="Times New Roman"/>
          <w:bCs/>
          <w:iCs/>
          <w:kern w:val="0"/>
          <w:sz w:val="22"/>
          <w:szCs w:val="22"/>
          <w:lang w:val="sl-SI" w:eastAsia="sl-SI" w:bidi="ar-SA"/>
        </w:rPr>
        <w:t>411 %</w:t>
      </w:r>
      <w:r w:rsidRPr="00264EE7">
        <w:rPr>
          <w:rFonts w:ascii="Calibri" w:hAnsi="Calibri" w:cs="Times New Roman"/>
          <w:bCs/>
          <w:kern w:val="0"/>
          <w:sz w:val="22"/>
          <w:szCs w:val="22"/>
          <w:lang w:val="sl-SI" w:eastAsia="sl-SI" w:bidi="ar-SA"/>
        </w:rPr>
        <w:t xml:space="preserve">, prispevek za OVE in SPTE pri elektriki se je sprva povečal za </w:t>
      </w:r>
      <w:r w:rsidRPr="00F95C64">
        <w:rPr>
          <w:rFonts w:ascii="Calibri" w:hAnsi="Calibri" w:cs="Times New Roman"/>
          <w:bCs/>
          <w:iCs/>
          <w:kern w:val="0"/>
          <w:sz w:val="22"/>
          <w:szCs w:val="22"/>
          <w:lang w:val="sl-SI" w:eastAsia="sl-SI" w:bidi="ar-SA"/>
        </w:rPr>
        <w:t xml:space="preserve">316 %, s korekcijo pa nad 150 %, trošarine </w:t>
      </w:r>
      <w:r w:rsidRPr="00264EE7">
        <w:rPr>
          <w:rFonts w:ascii="Calibri" w:hAnsi="Calibri" w:cs="Times New Roman"/>
          <w:bCs/>
          <w:kern w:val="0"/>
          <w:sz w:val="22"/>
          <w:szCs w:val="22"/>
          <w:lang w:val="sl-SI" w:eastAsia="sl-SI" w:bidi="ar-SA"/>
        </w:rPr>
        <w:lastRenderedPageBreak/>
        <w:t xml:space="preserve">na zemeljski plin za preko </w:t>
      </w:r>
      <w:r w:rsidRPr="00F95C64">
        <w:rPr>
          <w:rFonts w:ascii="Calibri" w:hAnsi="Calibri" w:cs="Times New Roman"/>
          <w:bCs/>
          <w:iCs/>
          <w:kern w:val="0"/>
          <w:sz w:val="22"/>
          <w:szCs w:val="22"/>
          <w:lang w:val="sl-SI" w:eastAsia="sl-SI" w:bidi="ar-SA"/>
        </w:rPr>
        <w:t>202</w:t>
      </w:r>
      <w:r w:rsidRPr="00C254D1">
        <w:rPr>
          <w:rFonts w:ascii="Calibri" w:hAnsi="Calibri" w:cs="Times New Roman"/>
          <w:bCs/>
          <w:i/>
          <w:iCs/>
          <w:kern w:val="0"/>
          <w:sz w:val="22"/>
          <w:szCs w:val="22"/>
          <w:lang w:val="sl-SI" w:eastAsia="sl-SI" w:bidi="ar-SA"/>
        </w:rPr>
        <w:t xml:space="preserve"> </w:t>
      </w:r>
      <w:r w:rsidRPr="00F95C64">
        <w:rPr>
          <w:rFonts w:ascii="Calibri" w:hAnsi="Calibri" w:cs="Times New Roman"/>
          <w:bCs/>
          <w:iCs/>
          <w:kern w:val="0"/>
          <w:sz w:val="22"/>
          <w:szCs w:val="22"/>
          <w:lang w:val="sl-SI" w:eastAsia="sl-SI" w:bidi="ar-SA"/>
        </w:rPr>
        <w:t>%</w:t>
      </w:r>
      <w:r>
        <w:rPr>
          <w:rFonts w:ascii="Calibri" w:hAnsi="Calibri" w:cs="Times New Roman"/>
          <w:bCs/>
          <w:i/>
          <w:iCs/>
          <w:kern w:val="0"/>
          <w:sz w:val="22"/>
          <w:szCs w:val="22"/>
          <w:lang w:val="sl-SI" w:eastAsia="sl-SI" w:bidi="ar-SA"/>
        </w:rPr>
        <w:t>.</w:t>
      </w:r>
    </w:p>
    <w:p w:rsidR="00314FAD" w:rsidRPr="00C254D1" w:rsidRDefault="00314FAD" w:rsidP="00C254D1">
      <w:pPr>
        <w:numPr>
          <w:ilvl w:val="0"/>
          <w:numId w:val="35"/>
        </w:numPr>
        <w:suppressAutoHyphens w:val="0"/>
        <w:spacing w:before="120" w:after="120"/>
        <w:ind w:left="357" w:hanging="357"/>
        <w:jc w:val="both"/>
        <w:rPr>
          <w:rFonts w:ascii="Calibri" w:hAnsi="Calibri" w:cs="Times New Roman"/>
          <w:bCs/>
          <w:kern w:val="0"/>
          <w:sz w:val="22"/>
          <w:szCs w:val="22"/>
          <w:lang w:val="sl-SI" w:eastAsia="sl-SI" w:bidi="ar-SA"/>
        </w:rPr>
      </w:pPr>
      <w:r w:rsidRPr="00C254D1">
        <w:rPr>
          <w:rFonts w:ascii="Calibri" w:hAnsi="Calibri" w:cs="Times New Roman"/>
          <w:bCs/>
          <w:kern w:val="0"/>
          <w:sz w:val="22"/>
          <w:szCs w:val="22"/>
          <w:lang w:val="sl-SI" w:eastAsia="sl-SI" w:bidi="ar-SA"/>
        </w:rPr>
        <w:t xml:space="preserve">Slovenija je bila </w:t>
      </w:r>
      <w:r>
        <w:rPr>
          <w:rFonts w:ascii="Calibri" w:hAnsi="Calibri" w:cs="Times New Roman"/>
          <w:bCs/>
          <w:kern w:val="0"/>
          <w:sz w:val="22"/>
          <w:szCs w:val="22"/>
          <w:lang w:val="sl-SI" w:eastAsia="sl-SI" w:bidi="ar-SA"/>
        </w:rPr>
        <w:t xml:space="preserve">po podatkih za leto 2012, </w:t>
      </w:r>
      <w:r w:rsidRPr="00C254D1">
        <w:rPr>
          <w:rFonts w:ascii="Calibri" w:hAnsi="Calibri" w:cs="Times New Roman"/>
          <w:bCs/>
          <w:kern w:val="0"/>
          <w:sz w:val="22"/>
          <w:szCs w:val="22"/>
          <w:lang w:val="sl-SI" w:eastAsia="sl-SI" w:bidi="ar-SA"/>
        </w:rPr>
        <w:t>pred povišanji v letu 2013</w:t>
      </w:r>
      <w:r>
        <w:rPr>
          <w:rFonts w:ascii="Calibri" w:hAnsi="Calibri" w:cs="Times New Roman"/>
          <w:bCs/>
          <w:kern w:val="0"/>
          <w:sz w:val="22"/>
          <w:szCs w:val="22"/>
          <w:lang w:val="sl-SI" w:eastAsia="sl-SI" w:bidi="ar-SA"/>
        </w:rPr>
        <w:t>,</w:t>
      </w:r>
      <w:r w:rsidRPr="00C254D1">
        <w:rPr>
          <w:rFonts w:ascii="Calibri" w:hAnsi="Calibri" w:cs="Times New Roman"/>
          <w:bCs/>
          <w:kern w:val="0"/>
          <w:sz w:val="22"/>
          <w:szCs w:val="22"/>
          <w:lang w:val="sl-SI" w:eastAsia="sl-SI" w:bidi="ar-SA"/>
        </w:rPr>
        <w:t xml:space="preserve"> po okoljskih dajatvah </w:t>
      </w:r>
      <w:r>
        <w:rPr>
          <w:rFonts w:ascii="Calibri" w:hAnsi="Calibri" w:cs="Times New Roman"/>
          <w:bCs/>
          <w:kern w:val="0"/>
          <w:sz w:val="22"/>
          <w:szCs w:val="22"/>
          <w:lang w:val="sl-SI" w:eastAsia="sl-SI" w:bidi="ar-SA"/>
        </w:rPr>
        <w:t xml:space="preserve">v BDP </w:t>
      </w:r>
      <w:r w:rsidRPr="00C254D1">
        <w:rPr>
          <w:rFonts w:ascii="Calibri" w:hAnsi="Calibri" w:cs="Times New Roman"/>
          <w:bCs/>
          <w:kern w:val="0"/>
          <w:sz w:val="22"/>
          <w:szCs w:val="22"/>
          <w:lang w:val="sl-SI" w:eastAsia="sl-SI" w:bidi="ar-SA"/>
        </w:rPr>
        <w:t xml:space="preserve">med članicami EU 28 tik pod vrhom, na 2. mestu, </w:t>
      </w:r>
      <w:r>
        <w:rPr>
          <w:rFonts w:ascii="Calibri" w:hAnsi="Calibri" w:cs="Times New Roman"/>
          <w:bCs/>
          <w:kern w:val="0"/>
          <w:sz w:val="22"/>
          <w:szCs w:val="22"/>
          <w:lang w:val="sl-SI" w:eastAsia="sl-SI" w:bidi="ar-SA"/>
        </w:rPr>
        <w:t xml:space="preserve">od tega </w:t>
      </w:r>
      <w:r w:rsidRPr="00C254D1">
        <w:rPr>
          <w:rFonts w:ascii="Calibri" w:hAnsi="Calibri" w:cs="Times New Roman"/>
          <w:bCs/>
          <w:kern w:val="0"/>
          <w:sz w:val="22"/>
          <w:szCs w:val="22"/>
          <w:lang w:val="sl-SI" w:eastAsia="sl-SI" w:bidi="ar-SA"/>
        </w:rPr>
        <w:t>po energetskih dajatvah</w:t>
      </w:r>
      <w:r>
        <w:rPr>
          <w:rFonts w:ascii="Calibri" w:hAnsi="Calibri" w:cs="Times New Roman"/>
          <w:bCs/>
          <w:kern w:val="0"/>
          <w:sz w:val="22"/>
          <w:szCs w:val="22"/>
          <w:lang w:val="sl-SI" w:eastAsia="sl-SI" w:bidi="ar-SA"/>
        </w:rPr>
        <w:t xml:space="preserve"> </w:t>
      </w:r>
      <w:r w:rsidRPr="00C254D1">
        <w:rPr>
          <w:rFonts w:ascii="Calibri" w:hAnsi="Calibri" w:cs="Times New Roman"/>
          <w:bCs/>
          <w:kern w:val="0"/>
          <w:sz w:val="22"/>
          <w:szCs w:val="22"/>
          <w:lang w:val="sl-SI" w:eastAsia="sl-SI" w:bidi="ar-SA"/>
        </w:rPr>
        <w:t>v BDP</w:t>
      </w:r>
      <w:r w:rsidR="00264EE7">
        <w:rPr>
          <w:rFonts w:ascii="Calibri" w:hAnsi="Calibri" w:cs="Times New Roman"/>
          <w:bCs/>
          <w:kern w:val="0"/>
          <w:sz w:val="22"/>
          <w:szCs w:val="22"/>
          <w:lang w:val="sl-SI" w:eastAsia="sl-SI" w:bidi="ar-SA"/>
        </w:rPr>
        <w:t xml:space="preserve"> </w:t>
      </w:r>
      <w:r>
        <w:rPr>
          <w:rFonts w:ascii="Calibri" w:hAnsi="Calibri" w:cs="Times New Roman"/>
          <w:bCs/>
          <w:kern w:val="0"/>
          <w:sz w:val="22"/>
          <w:szCs w:val="22"/>
          <w:lang w:val="sl-SI" w:eastAsia="sl-SI" w:bidi="ar-SA"/>
        </w:rPr>
        <w:t xml:space="preserve">(ki vključuje tudi </w:t>
      </w:r>
      <w:r w:rsidRPr="00C254D1">
        <w:rPr>
          <w:rFonts w:ascii="Calibri" w:hAnsi="Calibri" w:cs="Times New Roman"/>
          <w:bCs/>
          <w:kern w:val="0"/>
          <w:sz w:val="22"/>
          <w:szCs w:val="22"/>
          <w:lang w:val="sl-SI" w:eastAsia="sl-SI" w:bidi="ar-SA"/>
        </w:rPr>
        <w:t>CO</w:t>
      </w:r>
      <w:r w:rsidRPr="00F95C64">
        <w:rPr>
          <w:rFonts w:ascii="Calibri" w:hAnsi="Calibri" w:cs="Times New Roman"/>
          <w:bCs/>
          <w:kern w:val="0"/>
          <w:sz w:val="22"/>
          <w:szCs w:val="22"/>
          <w:vertAlign w:val="subscript"/>
          <w:lang w:val="sl-SI" w:eastAsia="sl-SI" w:bidi="ar-SA"/>
        </w:rPr>
        <w:t>2</w:t>
      </w:r>
      <w:r w:rsidRPr="00C254D1">
        <w:rPr>
          <w:rFonts w:ascii="Calibri" w:hAnsi="Calibri" w:cs="Times New Roman"/>
          <w:bCs/>
          <w:kern w:val="0"/>
          <w:sz w:val="22"/>
          <w:szCs w:val="22"/>
          <w:lang w:val="sl-SI" w:eastAsia="sl-SI" w:bidi="ar-SA"/>
        </w:rPr>
        <w:t xml:space="preserve"> dajatv</w:t>
      </w:r>
      <w:r>
        <w:rPr>
          <w:rFonts w:ascii="Calibri" w:hAnsi="Calibri" w:cs="Times New Roman"/>
          <w:bCs/>
          <w:kern w:val="0"/>
          <w:sz w:val="22"/>
          <w:szCs w:val="22"/>
          <w:lang w:val="sl-SI" w:eastAsia="sl-SI" w:bidi="ar-SA"/>
        </w:rPr>
        <w:t>e),</w:t>
      </w:r>
      <w:r w:rsidRPr="00C254D1">
        <w:rPr>
          <w:rFonts w:ascii="Calibri" w:hAnsi="Calibri" w:cs="Times New Roman"/>
          <w:bCs/>
          <w:kern w:val="0"/>
          <w:sz w:val="22"/>
          <w:szCs w:val="22"/>
          <w:lang w:val="sl-SI" w:eastAsia="sl-SI" w:bidi="ar-SA"/>
        </w:rPr>
        <w:t xml:space="preserve"> na 1. mestu. </w:t>
      </w:r>
      <w:r>
        <w:rPr>
          <w:rFonts w:ascii="Calibri" w:hAnsi="Calibri" w:cs="Times New Roman"/>
          <w:bCs/>
          <w:kern w:val="0"/>
          <w:sz w:val="22"/>
          <w:szCs w:val="22"/>
          <w:lang w:val="sl-SI" w:eastAsia="sl-SI" w:bidi="ar-SA"/>
        </w:rPr>
        <w:t>I</w:t>
      </w:r>
      <w:r w:rsidRPr="00C254D1">
        <w:rPr>
          <w:rFonts w:ascii="Calibri" w:hAnsi="Calibri" w:cs="Times New Roman"/>
          <w:bCs/>
          <w:kern w:val="0"/>
          <w:sz w:val="22"/>
          <w:szCs w:val="22"/>
          <w:lang w:val="sl-SI" w:eastAsia="sl-SI" w:bidi="ar-SA"/>
        </w:rPr>
        <w:t>mplicitn</w:t>
      </w:r>
      <w:r>
        <w:rPr>
          <w:rFonts w:ascii="Calibri" w:hAnsi="Calibri" w:cs="Times New Roman"/>
          <w:bCs/>
          <w:kern w:val="0"/>
          <w:sz w:val="22"/>
          <w:szCs w:val="22"/>
          <w:lang w:val="sl-SI" w:eastAsia="sl-SI" w:bidi="ar-SA"/>
        </w:rPr>
        <w:t>a</w:t>
      </w:r>
      <w:r w:rsidRPr="00C254D1">
        <w:rPr>
          <w:rFonts w:ascii="Calibri" w:hAnsi="Calibri" w:cs="Times New Roman"/>
          <w:bCs/>
          <w:kern w:val="0"/>
          <w:sz w:val="22"/>
          <w:szCs w:val="22"/>
          <w:lang w:val="sl-SI" w:eastAsia="sl-SI" w:bidi="ar-SA"/>
        </w:rPr>
        <w:t xml:space="preserve"> davčn</w:t>
      </w:r>
      <w:r>
        <w:rPr>
          <w:rFonts w:ascii="Calibri" w:hAnsi="Calibri" w:cs="Times New Roman"/>
          <w:bCs/>
          <w:kern w:val="0"/>
          <w:sz w:val="22"/>
          <w:szCs w:val="22"/>
          <w:lang w:val="sl-SI" w:eastAsia="sl-SI" w:bidi="ar-SA"/>
        </w:rPr>
        <w:t>a</w:t>
      </w:r>
      <w:r w:rsidRPr="00C254D1">
        <w:rPr>
          <w:rFonts w:ascii="Calibri" w:hAnsi="Calibri" w:cs="Times New Roman"/>
          <w:bCs/>
          <w:kern w:val="0"/>
          <w:sz w:val="22"/>
          <w:szCs w:val="22"/>
          <w:lang w:val="sl-SI" w:eastAsia="sl-SI" w:bidi="ar-SA"/>
        </w:rPr>
        <w:t xml:space="preserve"> stopnj</w:t>
      </w:r>
      <w:r>
        <w:rPr>
          <w:rFonts w:ascii="Calibri" w:hAnsi="Calibri" w:cs="Times New Roman"/>
          <w:bCs/>
          <w:kern w:val="0"/>
          <w:sz w:val="22"/>
          <w:szCs w:val="22"/>
          <w:lang w:val="sl-SI" w:eastAsia="sl-SI" w:bidi="ar-SA"/>
        </w:rPr>
        <w:t>a</w:t>
      </w:r>
      <w:r w:rsidRPr="00C254D1">
        <w:rPr>
          <w:rFonts w:ascii="Calibri" w:hAnsi="Calibri" w:cs="Times New Roman"/>
          <w:bCs/>
          <w:kern w:val="0"/>
          <w:sz w:val="22"/>
          <w:szCs w:val="22"/>
          <w:lang w:val="sl-SI" w:eastAsia="sl-SI" w:bidi="ar-SA"/>
        </w:rPr>
        <w:t xml:space="preserve"> na energijo </w:t>
      </w:r>
      <w:r>
        <w:rPr>
          <w:rFonts w:ascii="Calibri" w:hAnsi="Calibri" w:cs="Times New Roman"/>
          <w:bCs/>
          <w:kern w:val="0"/>
          <w:sz w:val="22"/>
          <w:szCs w:val="22"/>
          <w:lang w:val="sl-SI" w:eastAsia="sl-SI" w:bidi="ar-SA"/>
        </w:rPr>
        <w:t xml:space="preserve">za leto 2012 </w:t>
      </w:r>
      <w:r w:rsidRPr="00C254D1">
        <w:rPr>
          <w:rFonts w:ascii="Calibri" w:hAnsi="Calibri" w:cs="Times New Roman"/>
          <w:bCs/>
          <w:kern w:val="0"/>
          <w:sz w:val="22"/>
          <w:szCs w:val="22"/>
          <w:lang w:val="sl-SI" w:eastAsia="sl-SI" w:bidi="ar-SA"/>
        </w:rPr>
        <w:t>je</w:t>
      </w:r>
      <w:r>
        <w:rPr>
          <w:rFonts w:ascii="Calibri" w:hAnsi="Calibri" w:cs="Times New Roman"/>
          <w:bCs/>
          <w:kern w:val="0"/>
          <w:sz w:val="22"/>
          <w:szCs w:val="22"/>
          <w:lang w:val="sl-SI" w:eastAsia="sl-SI" w:bidi="ar-SA"/>
        </w:rPr>
        <w:t xml:space="preserve"> bila v </w:t>
      </w:r>
      <w:r w:rsidRPr="00C254D1">
        <w:rPr>
          <w:rFonts w:ascii="Calibri" w:hAnsi="Calibri" w:cs="Times New Roman"/>
          <w:bCs/>
          <w:kern w:val="0"/>
          <w:sz w:val="22"/>
          <w:szCs w:val="22"/>
          <w:lang w:val="sl-SI" w:eastAsia="sl-SI" w:bidi="ar-SA"/>
        </w:rPr>
        <w:t>Slovenij</w:t>
      </w:r>
      <w:r>
        <w:rPr>
          <w:rFonts w:ascii="Calibri" w:hAnsi="Calibri" w:cs="Times New Roman"/>
          <w:bCs/>
          <w:kern w:val="0"/>
          <w:sz w:val="22"/>
          <w:szCs w:val="22"/>
          <w:lang w:val="sl-SI" w:eastAsia="sl-SI" w:bidi="ar-SA"/>
        </w:rPr>
        <w:t>i</w:t>
      </w:r>
      <w:r w:rsidRPr="00C254D1">
        <w:rPr>
          <w:rFonts w:ascii="Calibri" w:hAnsi="Calibri" w:cs="Times New Roman"/>
          <w:bCs/>
          <w:kern w:val="0"/>
          <w:sz w:val="22"/>
          <w:szCs w:val="22"/>
          <w:lang w:val="sl-SI" w:eastAsia="sl-SI" w:bidi="ar-SA"/>
        </w:rPr>
        <w:t xml:space="preserve"> v primerjavi več </w:t>
      </w:r>
      <w:r w:rsidR="00264EE7">
        <w:rPr>
          <w:rFonts w:ascii="Calibri" w:hAnsi="Calibri" w:cs="Times New Roman"/>
          <w:bCs/>
          <w:kern w:val="0"/>
          <w:sz w:val="22"/>
          <w:szCs w:val="22"/>
          <w:lang w:val="sl-SI" w:eastAsia="sl-SI" w:bidi="ar-SA"/>
        </w:rPr>
        <w:t xml:space="preserve">kot </w:t>
      </w:r>
      <w:r w:rsidRPr="00C254D1">
        <w:rPr>
          <w:rFonts w:ascii="Calibri" w:hAnsi="Calibri" w:cs="Times New Roman"/>
          <w:bCs/>
          <w:kern w:val="0"/>
          <w:sz w:val="22"/>
          <w:szCs w:val="22"/>
          <w:lang w:val="sl-SI" w:eastAsia="sl-SI" w:bidi="ar-SA"/>
        </w:rPr>
        <w:t>2</w:t>
      </w:r>
      <w:r>
        <w:rPr>
          <w:rFonts w:ascii="Calibri" w:hAnsi="Calibri" w:cs="Times New Roman"/>
          <w:bCs/>
          <w:kern w:val="0"/>
          <w:sz w:val="22"/>
          <w:szCs w:val="22"/>
          <w:lang w:val="sl-SI" w:eastAsia="sl-SI" w:bidi="ar-SA"/>
        </w:rPr>
        <w:t xml:space="preserve">krat </w:t>
      </w:r>
      <w:r w:rsidRPr="00C254D1">
        <w:rPr>
          <w:rFonts w:ascii="Calibri" w:hAnsi="Calibri" w:cs="Times New Roman"/>
          <w:bCs/>
          <w:kern w:val="0"/>
          <w:sz w:val="22"/>
          <w:szCs w:val="22"/>
          <w:lang w:val="sl-SI" w:eastAsia="sl-SI" w:bidi="ar-SA"/>
        </w:rPr>
        <w:t xml:space="preserve">višja </w:t>
      </w:r>
      <w:r>
        <w:rPr>
          <w:rFonts w:ascii="Calibri" w:hAnsi="Calibri" w:cs="Times New Roman"/>
          <w:bCs/>
          <w:kern w:val="0"/>
          <w:sz w:val="22"/>
          <w:szCs w:val="22"/>
          <w:lang w:val="sl-SI" w:eastAsia="sl-SI" w:bidi="ar-SA"/>
        </w:rPr>
        <w:t xml:space="preserve">od </w:t>
      </w:r>
      <w:r w:rsidRPr="00C254D1">
        <w:rPr>
          <w:rFonts w:ascii="Calibri" w:hAnsi="Calibri" w:cs="Times New Roman"/>
          <w:bCs/>
          <w:kern w:val="0"/>
          <w:sz w:val="22"/>
          <w:szCs w:val="22"/>
          <w:lang w:val="sl-SI" w:eastAsia="sl-SI" w:bidi="ar-SA"/>
        </w:rPr>
        <w:t>povprečj</w:t>
      </w:r>
      <w:r>
        <w:rPr>
          <w:rFonts w:ascii="Calibri" w:hAnsi="Calibri" w:cs="Times New Roman"/>
          <w:bCs/>
          <w:kern w:val="0"/>
          <w:sz w:val="22"/>
          <w:szCs w:val="22"/>
          <w:lang w:val="sl-SI" w:eastAsia="sl-SI" w:bidi="ar-SA"/>
        </w:rPr>
        <w:t xml:space="preserve">a </w:t>
      </w:r>
      <w:r w:rsidRPr="00C254D1">
        <w:rPr>
          <w:rFonts w:ascii="Calibri" w:hAnsi="Calibri" w:cs="Times New Roman"/>
          <w:bCs/>
          <w:kern w:val="0"/>
          <w:sz w:val="22"/>
          <w:szCs w:val="22"/>
          <w:lang w:val="sl-SI" w:eastAsia="sl-SI" w:bidi="ar-SA"/>
        </w:rPr>
        <w:t>v Višegrajski skupini</w:t>
      </w:r>
      <w:r>
        <w:rPr>
          <w:rFonts w:ascii="Calibri" w:hAnsi="Calibri" w:cs="Times New Roman"/>
          <w:bCs/>
          <w:kern w:val="0"/>
          <w:sz w:val="22"/>
          <w:szCs w:val="22"/>
          <w:lang w:val="sl-SI" w:eastAsia="sl-SI" w:bidi="ar-SA"/>
        </w:rPr>
        <w:t>.</w:t>
      </w:r>
    </w:p>
    <w:p w:rsidR="00314FAD" w:rsidRDefault="00314FAD" w:rsidP="00BC4B62">
      <w:pPr>
        <w:numPr>
          <w:ilvl w:val="0"/>
          <w:numId w:val="35"/>
        </w:numPr>
        <w:suppressAutoHyphens w:val="0"/>
        <w:spacing w:before="120" w:after="120"/>
        <w:ind w:left="357" w:hanging="357"/>
        <w:jc w:val="both"/>
        <w:rPr>
          <w:rFonts w:ascii="Calibri" w:hAnsi="Calibri" w:cs="Times New Roman"/>
          <w:bCs/>
          <w:kern w:val="0"/>
          <w:sz w:val="22"/>
          <w:szCs w:val="22"/>
          <w:lang w:val="sl-SI" w:eastAsia="sl-SI" w:bidi="ar-SA"/>
        </w:rPr>
      </w:pPr>
      <w:r>
        <w:rPr>
          <w:rFonts w:ascii="Calibri" w:hAnsi="Calibri" w:cs="Times New Roman"/>
          <w:bCs/>
          <w:kern w:val="0"/>
          <w:sz w:val="22"/>
          <w:szCs w:val="22"/>
          <w:lang w:val="sl-SI" w:eastAsia="sl-SI" w:bidi="ar-SA"/>
        </w:rPr>
        <w:t>Ostale članice EU</w:t>
      </w:r>
      <w:r w:rsidRPr="004E32B1">
        <w:rPr>
          <w:rFonts w:ascii="Calibri" w:hAnsi="Calibri" w:cs="Times New Roman"/>
          <w:bCs/>
          <w:kern w:val="0"/>
          <w:sz w:val="22"/>
          <w:szCs w:val="22"/>
          <w:lang w:val="sl-SI" w:eastAsia="sl-SI" w:bidi="ar-SA"/>
        </w:rPr>
        <w:t xml:space="preserve"> tovrstnih obremenitev </w:t>
      </w:r>
      <w:r>
        <w:rPr>
          <w:rFonts w:ascii="Calibri" w:hAnsi="Calibri" w:cs="Times New Roman"/>
          <w:bCs/>
          <w:kern w:val="0"/>
          <w:sz w:val="22"/>
          <w:szCs w:val="22"/>
          <w:lang w:val="sl-SI" w:eastAsia="sl-SI" w:bidi="ar-SA"/>
        </w:rPr>
        <w:t xml:space="preserve">za svoja podjetja ne uveljavljajo, ker ščitijo konkurenčnost svoje industrije skladno s pravili EU. </w:t>
      </w:r>
    </w:p>
    <w:p w:rsidR="00314FAD" w:rsidRPr="00965B29" w:rsidRDefault="00314FAD" w:rsidP="00124AA4">
      <w:pPr>
        <w:pStyle w:val="Odstavekseznama"/>
        <w:widowControl/>
        <w:numPr>
          <w:ilvl w:val="0"/>
          <w:numId w:val="35"/>
        </w:numPr>
        <w:suppressAutoHyphens w:val="0"/>
        <w:spacing w:before="120" w:after="0"/>
        <w:jc w:val="both"/>
        <w:rPr>
          <w:rFonts w:ascii="Calibri" w:hAnsi="Calibri" w:cs="Arial"/>
          <w:b/>
          <w:bCs/>
          <w:kern w:val="0"/>
          <w:sz w:val="22"/>
          <w:szCs w:val="22"/>
          <w:lang w:val="sl-SI" w:eastAsia="sl-SI" w:bidi="ar-SA"/>
        </w:rPr>
      </w:pPr>
      <w:r>
        <w:rPr>
          <w:rFonts w:ascii="Calibri" w:hAnsi="Calibri" w:cs="Times New Roman"/>
          <w:bCs/>
          <w:kern w:val="0"/>
          <w:sz w:val="22"/>
          <w:szCs w:val="22"/>
          <w:lang w:val="sl-SI" w:eastAsia="sl-SI" w:bidi="ar-SA"/>
        </w:rPr>
        <w:t>Glede na dopis št. 440-18/2013/  z dne 23.05.2013, ki ga je Sektor za spremljanje državnih pomoči MF posredoval Ministrstvu za kmetijstvo in okolje</w:t>
      </w:r>
      <w:r w:rsidR="00264EE7">
        <w:rPr>
          <w:rFonts w:ascii="Calibri" w:hAnsi="Calibri" w:cs="Times New Roman"/>
          <w:bCs/>
          <w:kern w:val="0"/>
          <w:sz w:val="22"/>
          <w:szCs w:val="22"/>
          <w:lang w:val="sl-SI" w:eastAsia="sl-SI" w:bidi="ar-SA"/>
        </w:rPr>
        <w:t>,</w:t>
      </w:r>
      <w:r>
        <w:rPr>
          <w:rFonts w:ascii="Calibri" w:hAnsi="Calibri" w:cs="Times New Roman"/>
          <w:bCs/>
          <w:kern w:val="0"/>
          <w:sz w:val="22"/>
          <w:szCs w:val="22"/>
          <w:lang w:val="sl-SI" w:eastAsia="sl-SI" w:bidi="ar-SA"/>
        </w:rPr>
        <w:t xml:space="preserve"> je bil pogoj plačila najnižje davčne stopnje Skupnosti za predmetno rabo energenta znan, a ne rešen, že najmanj pred letom in pol. Hkrati preseneča dejstvo, ki izhaja iz tega dopisa, da je shema za oprostitev plačil prvotno veljala le do 31.12.2013. Gospodarstvo ne more prevzemati odgovornosti in posledic za očitno nedoslednost in nepravočasno pripravo nove sheme.</w:t>
      </w:r>
    </w:p>
    <w:p w:rsidR="00314FAD" w:rsidRDefault="00314FAD" w:rsidP="00BC4B62">
      <w:pPr>
        <w:numPr>
          <w:ilvl w:val="0"/>
          <w:numId w:val="35"/>
        </w:numPr>
        <w:suppressAutoHyphens w:val="0"/>
        <w:spacing w:before="120" w:after="120"/>
        <w:ind w:left="357" w:hanging="357"/>
        <w:jc w:val="both"/>
        <w:rPr>
          <w:rFonts w:ascii="Calibri" w:hAnsi="Calibri" w:cs="Times New Roman"/>
          <w:bCs/>
          <w:kern w:val="0"/>
          <w:sz w:val="22"/>
          <w:szCs w:val="22"/>
          <w:lang w:val="sl-SI" w:eastAsia="sl-SI" w:bidi="ar-SA"/>
        </w:rPr>
      </w:pPr>
      <w:r>
        <w:rPr>
          <w:rFonts w:ascii="Calibri" w:hAnsi="Calibri" w:cs="Times New Roman"/>
          <w:bCs/>
          <w:kern w:val="0"/>
          <w:sz w:val="22"/>
          <w:szCs w:val="22"/>
          <w:lang w:val="sl-SI" w:eastAsia="sl-SI" w:bidi="ar-SA"/>
        </w:rPr>
        <w:t xml:space="preserve">V nasprotju s tem Vlada RS načrtuje nesorazmerno in na ozek krog podjetij usmerjeno obremenitev, ki pomeni resno tveganje </w:t>
      </w:r>
      <w:r w:rsidRPr="004E32B1">
        <w:rPr>
          <w:rFonts w:ascii="Calibri" w:hAnsi="Calibri" w:cs="Times New Roman"/>
          <w:bCs/>
          <w:kern w:val="0"/>
          <w:sz w:val="22"/>
          <w:szCs w:val="22"/>
          <w:lang w:val="sl-SI" w:eastAsia="sl-SI" w:bidi="ar-SA"/>
        </w:rPr>
        <w:t xml:space="preserve">za </w:t>
      </w:r>
      <w:r>
        <w:rPr>
          <w:rFonts w:ascii="Calibri" w:hAnsi="Calibri" w:cs="Times New Roman"/>
          <w:bCs/>
          <w:kern w:val="0"/>
          <w:sz w:val="22"/>
          <w:szCs w:val="22"/>
          <w:lang w:val="sl-SI" w:eastAsia="sl-SI" w:bidi="ar-SA"/>
        </w:rPr>
        <w:t xml:space="preserve">neposredno </w:t>
      </w:r>
      <w:r w:rsidRPr="004E32B1">
        <w:rPr>
          <w:rFonts w:ascii="Calibri" w:hAnsi="Calibri" w:cs="Times New Roman"/>
          <w:bCs/>
          <w:kern w:val="0"/>
          <w:sz w:val="22"/>
          <w:szCs w:val="22"/>
          <w:lang w:val="sl-SI" w:eastAsia="sl-SI" w:bidi="ar-SA"/>
        </w:rPr>
        <w:t xml:space="preserve">izgubo </w:t>
      </w:r>
      <w:r>
        <w:rPr>
          <w:rFonts w:ascii="Calibri" w:hAnsi="Calibri" w:cs="Times New Roman"/>
          <w:bCs/>
          <w:kern w:val="0"/>
          <w:sz w:val="22"/>
          <w:szCs w:val="22"/>
          <w:lang w:val="sl-SI" w:eastAsia="sl-SI" w:bidi="ar-SA"/>
        </w:rPr>
        <w:t xml:space="preserve">1.130 </w:t>
      </w:r>
      <w:r w:rsidRPr="004E32B1">
        <w:rPr>
          <w:rFonts w:ascii="Calibri" w:hAnsi="Calibri" w:cs="Times New Roman"/>
          <w:bCs/>
          <w:kern w:val="0"/>
          <w:sz w:val="22"/>
          <w:szCs w:val="22"/>
          <w:lang w:val="sl-SI" w:eastAsia="sl-SI" w:bidi="ar-SA"/>
        </w:rPr>
        <w:t>delovnih mest</w:t>
      </w:r>
      <w:r>
        <w:rPr>
          <w:rFonts w:ascii="Calibri" w:hAnsi="Calibri" w:cs="Times New Roman"/>
          <w:bCs/>
          <w:kern w:val="0"/>
          <w:sz w:val="22"/>
          <w:szCs w:val="22"/>
          <w:lang w:val="sl-SI" w:eastAsia="sl-SI" w:bidi="ar-SA"/>
        </w:rPr>
        <w:t xml:space="preserve"> v roku 2-5 let, z visokimi negativnimi multiplikativnimi učinki na ostale povezane sektorje.</w:t>
      </w:r>
    </w:p>
    <w:p w:rsidR="00314FAD" w:rsidRPr="004E32B1" w:rsidRDefault="00314FAD" w:rsidP="00BC4B62">
      <w:pPr>
        <w:numPr>
          <w:ilvl w:val="0"/>
          <w:numId w:val="35"/>
        </w:numPr>
        <w:suppressAutoHyphens w:val="0"/>
        <w:spacing w:before="120" w:after="120"/>
        <w:ind w:left="357" w:hanging="357"/>
        <w:jc w:val="both"/>
        <w:rPr>
          <w:rFonts w:ascii="Calibri" w:hAnsi="Calibri" w:cs="Times New Roman"/>
          <w:bCs/>
          <w:kern w:val="0"/>
          <w:sz w:val="22"/>
          <w:szCs w:val="22"/>
          <w:lang w:val="sl-SI" w:eastAsia="sl-SI" w:bidi="ar-SA"/>
        </w:rPr>
      </w:pPr>
      <w:r>
        <w:rPr>
          <w:rFonts w:ascii="Calibri" w:hAnsi="Calibri" w:cs="Times New Roman"/>
          <w:bCs/>
          <w:kern w:val="0"/>
          <w:sz w:val="22"/>
          <w:szCs w:val="22"/>
          <w:lang w:val="sl-SI" w:eastAsia="sl-SI" w:bidi="ar-SA"/>
        </w:rPr>
        <w:t>Višina in način uveljavljanja te dajatve resno povečuje</w:t>
      </w:r>
      <w:r w:rsidRPr="004E32B1">
        <w:rPr>
          <w:rFonts w:ascii="Calibri" w:hAnsi="Calibri" w:cs="Times New Roman"/>
          <w:bCs/>
          <w:kern w:val="0"/>
          <w:sz w:val="22"/>
          <w:szCs w:val="22"/>
          <w:lang w:val="sl-SI" w:eastAsia="sl-SI" w:bidi="ar-SA"/>
        </w:rPr>
        <w:t xml:space="preserve"> t</w:t>
      </w:r>
      <w:r>
        <w:rPr>
          <w:rFonts w:ascii="Calibri" w:hAnsi="Calibri" w:cs="Times New Roman"/>
          <w:bCs/>
          <w:kern w:val="0"/>
          <w:sz w:val="22"/>
          <w:szCs w:val="22"/>
          <w:lang w:val="sl-SI" w:eastAsia="sl-SI" w:bidi="ar-SA"/>
        </w:rPr>
        <w:t xml:space="preserve">veganje za odliv </w:t>
      </w:r>
      <w:r w:rsidRPr="004E32B1">
        <w:rPr>
          <w:rFonts w:ascii="Calibri" w:hAnsi="Calibri" w:cs="Times New Roman"/>
          <w:bCs/>
          <w:kern w:val="0"/>
          <w:sz w:val="22"/>
          <w:szCs w:val="22"/>
          <w:lang w:val="sl-SI" w:eastAsia="sl-SI" w:bidi="ar-SA"/>
        </w:rPr>
        <w:t xml:space="preserve">investicij </w:t>
      </w:r>
      <w:r>
        <w:rPr>
          <w:rFonts w:ascii="Calibri" w:hAnsi="Calibri" w:cs="Times New Roman"/>
          <w:bCs/>
          <w:kern w:val="0"/>
          <w:sz w:val="22"/>
          <w:szCs w:val="22"/>
          <w:lang w:val="sl-SI" w:eastAsia="sl-SI" w:bidi="ar-SA"/>
        </w:rPr>
        <w:t xml:space="preserve">podjetij v domači in tuji lasti </w:t>
      </w:r>
      <w:r w:rsidRPr="004E32B1">
        <w:rPr>
          <w:rFonts w:ascii="Calibri" w:hAnsi="Calibri" w:cs="Times New Roman"/>
          <w:bCs/>
          <w:kern w:val="0"/>
          <w:sz w:val="22"/>
          <w:szCs w:val="22"/>
          <w:lang w:val="sl-SI" w:eastAsia="sl-SI" w:bidi="ar-SA"/>
        </w:rPr>
        <w:t>v</w:t>
      </w:r>
      <w:r>
        <w:rPr>
          <w:rFonts w:ascii="Calibri" w:hAnsi="Calibri" w:cs="Times New Roman"/>
          <w:bCs/>
          <w:kern w:val="0"/>
          <w:sz w:val="22"/>
          <w:szCs w:val="22"/>
          <w:lang w:val="sl-SI" w:eastAsia="sl-SI" w:bidi="ar-SA"/>
        </w:rPr>
        <w:t xml:space="preserve"> konkurenčnejša poslovna okolja.</w:t>
      </w:r>
    </w:p>
    <w:p w:rsidR="00314FAD" w:rsidRPr="00E47A27" w:rsidRDefault="00314FAD" w:rsidP="001F67D3">
      <w:pPr>
        <w:widowControl/>
        <w:numPr>
          <w:ilvl w:val="0"/>
          <w:numId w:val="35"/>
        </w:numPr>
        <w:suppressAutoHyphens w:val="0"/>
        <w:spacing w:before="120" w:after="0"/>
        <w:ind w:left="357" w:hanging="357"/>
        <w:jc w:val="both"/>
        <w:rPr>
          <w:rFonts w:ascii="Calibri" w:hAnsi="Calibri" w:cs="Times New Roman"/>
          <w:b/>
          <w:bCs/>
          <w:kern w:val="0"/>
          <w:sz w:val="22"/>
          <w:szCs w:val="22"/>
          <w:lang w:val="sl-SI" w:eastAsia="sl-SI" w:bidi="ar-SA"/>
        </w:rPr>
      </w:pPr>
      <w:r w:rsidRPr="001F67D3">
        <w:rPr>
          <w:rFonts w:ascii="Calibri" w:hAnsi="Calibri" w:cs="Times New Roman"/>
          <w:bCs/>
          <w:kern w:val="0"/>
          <w:sz w:val="22"/>
          <w:szCs w:val="22"/>
          <w:lang w:val="sl-SI" w:eastAsia="sl-SI" w:bidi="ar-SA"/>
        </w:rPr>
        <w:t>Za podjetja, ki so po nekaj letih sanacije in prestrukturiranja trende poslovanja in donosov obrnila v pozitivno smer, jih nova, izrazito nesorazmerna bremena ponovno postavljajo na točko preloma v odločitvah, ali in kako v prestrukturiranju še vztrajati</w:t>
      </w:r>
      <w:r w:rsidR="00264EE7">
        <w:rPr>
          <w:rFonts w:ascii="Calibri" w:hAnsi="Calibri" w:cs="Times New Roman"/>
          <w:bCs/>
          <w:kern w:val="0"/>
          <w:sz w:val="22"/>
          <w:szCs w:val="22"/>
          <w:lang w:val="sl-SI" w:eastAsia="sl-SI" w:bidi="ar-SA"/>
        </w:rPr>
        <w:t>.</w:t>
      </w:r>
    </w:p>
    <w:p w:rsidR="00314FAD" w:rsidRPr="001F67D3" w:rsidRDefault="00314FAD" w:rsidP="001F67D3">
      <w:pPr>
        <w:widowControl/>
        <w:numPr>
          <w:ilvl w:val="0"/>
          <w:numId w:val="35"/>
        </w:numPr>
        <w:suppressAutoHyphens w:val="0"/>
        <w:spacing w:before="120" w:after="0"/>
        <w:ind w:left="357" w:hanging="357"/>
        <w:jc w:val="both"/>
        <w:rPr>
          <w:rFonts w:ascii="Calibri" w:hAnsi="Calibri" w:cs="Times New Roman"/>
          <w:b/>
          <w:bCs/>
          <w:kern w:val="0"/>
          <w:sz w:val="22"/>
          <w:szCs w:val="22"/>
          <w:lang w:val="sl-SI" w:eastAsia="sl-SI" w:bidi="ar-SA"/>
        </w:rPr>
      </w:pPr>
      <w:r w:rsidRPr="001F67D3">
        <w:rPr>
          <w:rFonts w:ascii="Calibri" w:hAnsi="Calibri" w:cs="Times New Roman"/>
          <w:bCs/>
          <w:kern w:val="0"/>
          <w:sz w:val="22"/>
          <w:szCs w:val="22"/>
          <w:lang w:val="sl-SI" w:eastAsia="sl-SI" w:bidi="ar-SA"/>
        </w:rPr>
        <w:t>Nova dajatev je nesprejemljiva tudi za sektor energetike, ki bi ga uredba po ocenah dodatno obremenila za več kot 20 milijonov evrov, od tega skrajno nesorazmerno le dva velika proizvajalca.</w:t>
      </w:r>
    </w:p>
    <w:p w:rsidR="00314FAD" w:rsidRDefault="00314FAD">
      <w:pPr>
        <w:widowControl/>
        <w:suppressAutoHyphens w:val="0"/>
        <w:spacing w:before="0" w:after="0"/>
        <w:rPr>
          <w:rFonts w:ascii="Calibri" w:hAnsi="Calibri" w:cs="Times New Roman"/>
          <w:b/>
          <w:bCs/>
          <w:kern w:val="0"/>
          <w:sz w:val="22"/>
          <w:szCs w:val="22"/>
          <w:lang w:val="sl-SI" w:eastAsia="sl-SI" w:bidi="ar-SA"/>
        </w:rPr>
      </w:pPr>
    </w:p>
    <w:p w:rsidR="00314FAD" w:rsidRDefault="00314FAD">
      <w:pPr>
        <w:widowControl/>
        <w:suppressAutoHyphens w:val="0"/>
        <w:spacing w:before="0" w:after="0"/>
        <w:rPr>
          <w:rFonts w:ascii="Calibri" w:hAnsi="Calibri" w:cs="Times New Roman"/>
          <w:b/>
          <w:bCs/>
          <w:kern w:val="0"/>
          <w:sz w:val="22"/>
          <w:szCs w:val="22"/>
          <w:lang w:val="sl-SI" w:eastAsia="sl-SI" w:bidi="ar-SA"/>
        </w:rPr>
      </w:pPr>
    </w:p>
    <w:p w:rsidR="00314FAD" w:rsidRPr="00BC4B62" w:rsidRDefault="00314FAD" w:rsidP="00BC4B62">
      <w:pPr>
        <w:widowControl/>
        <w:suppressAutoHyphens w:val="0"/>
        <w:spacing w:before="120" w:after="240"/>
        <w:jc w:val="both"/>
        <w:rPr>
          <w:rFonts w:ascii="Calibri" w:hAnsi="Calibri" w:cs="Arial"/>
          <w:b/>
          <w:color w:val="2E74B5"/>
          <w:kern w:val="0"/>
          <w:sz w:val="32"/>
          <w:szCs w:val="32"/>
          <w:lang w:val="sl-SI" w:eastAsia="en-US" w:bidi="ar-SA"/>
        </w:rPr>
      </w:pPr>
      <w:r w:rsidRPr="00BC4B62">
        <w:rPr>
          <w:rFonts w:ascii="Calibri" w:hAnsi="Calibri" w:cs="Arial"/>
          <w:b/>
          <w:color w:val="2E74B5"/>
          <w:kern w:val="0"/>
          <w:sz w:val="32"/>
          <w:szCs w:val="32"/>
          <w:lang w:val="sl-SI" w:eastAsia="en-US" w:bidi="ar-SA"/>
        </w:rPr>
        <w:t>OCENA UČINKOV NA DELOVNA MESTA</w:t>
      </w:r>
      <w:r>
        <w:rPr>
          <w:rFonts w:ascii="Calibri" w:hAnsi="Calibri" w:cs="Arial"/>
          <w:b/>
          <w:color w:val="2E74B5"/>
          <w:kern w:val="0"/>
          <w:sz w:val="32"/>
          <w:szCs w:val="32"/>
          <w:lang w:val="sl-SI" w:eastAsia="en-US" w:bidi="ar-SA"/>
        </w:rPr>
        <w:t xml:space="preserve"> V INDUSTRIJI BREZ ENERGETIKE</w:t>
      </w:r>
    </w:p>
    <w:p w:rsidR="00314FAD" w:rsidRPr="00151FA0" w:rsidRDefault="00314FAD" w:rsidP="00D34E6F">
      <w:pPr>
        <w:numPr>
          <w:ilvl w:val="0"/>
          <w:numId w:val="35"/>
        </w:numPr>
        <w:suppressAutoHyphens w:val="0"/>
        <w:spacing w:before="120" w:after="120"/>
        <w:ind w:left="357" w:hanging="357"/>
        <w:jc w:val="both"/>
        <w:rPr>
          <w:rFonts w:ascii="Calibri" w:hAnsi="Calibri" w:cs="Times New Roman"/>
          <w:bCs/>
          <w:kern w:val="0"/>
          <w:sz w:val="22"/>
          <w:szCs w:val="22"/>
          <w:lang w:val="sl-SI" w:eastAsia="sl-SI" w:bidi="ar-SA"/>
        </w:rPr>
      </w:pPr>
      <w:r w:rsidRPr="00151FA0">
        <w:rPr>
          <w:rFonts w:ascii="Calibri" w:hAnsi="Calibri" w:cs="Times New Roman"/>
          <w:bCs/>
          <w:kern w:val="0"/>
          <w:sz w:val="22"/>
          <w:szCs w:val="22"/>
          <w:lang w:val="sl-SI" w:eastAsia="sl-SI" w:bidi="ar-SA"/>
        </w:rPr>
        <w:t xml:space="preserve">Za podjetja iz EID (papirnice, steklarne, proizvodnja kovin, gradbenega materiala, kemičnih izdelkov) smo pridobili bilančne izkaze ter dobičkonosnost družb primerjali z </w:t>
      </w:r>
      <w:r w:rsidR="00264EE7" w:rsidRPr="00151FA0">
        <w:rPr>
          <w:rFonts w:ascii="Calibri" w:hAnsi="Calibri" w:cs="Times New Roman"/>
          <w:bCs/>
          <w:kern w:val="0"/>
          <w:sz w:val="22"/>
          <w:szCs w:val="22"/>
          <w:lang w:val="sl-SI" w:eastAsia="sl-SI" w:bidi="ar-SA"/>
        </w:rPr>
        <w:t>evropski</w:t>
      </w:r>
      <w:r w:rsidR="00264EE7">
        <w:rPr>
          <w:rFonts w:ascii="Calibri" w:hAnsi="Calibri" w:cs="Times New Roman"/>
          <w:bCs/>
          <w:kern w:val="0"/>
          <w:sz w:val="22"/>
          <w:szCs w:val="22"/>
          <w:lang w:val="sl-SI" w:eastAsia="sl-SI" w:bidi="ar-SA"/>
        </w:rPr>
        <w:t>m</w:t>
      </w:r>
      <w:r w:rsidR="00264EE7" w:rsidRPr="00151FA0">
        <w:rPr>
          <w:rFonts w:ascii="Calibri" w:hAnsi="Calibri" w:cs="Times New Roman"/>
          <w:bCs/>
          <w:kern w:val="0"/>
          <w:sz w:val="22"/>
          <w:szCs w:val="22"/>
          <w:lang w:val="sl-SI" w:eastAsia="sl-SI" w:bidi="ar-SA"/>
        </w:rPr>
        <w:t xml:space="preserve"> </w:t>
      </w:r>
      <w:r w:rsidRPr="00151FA0">
        <w:rPr>
          <w:rFonts w:ascii="Calibri" w:hAnsi="Calibri" w:cs="Times New Roman"/>
          <w:bCs/>
          <w:kern w:val="0"/>
          <w:sz w:val="22"/>
          <w:szCs w:val="22"/>
          <w:lang w:val="sl-SI" w:eastAsia="sl-SI" w:bidi="ar-SA"/>
        </w:rPr>
        <w:t>povprečjem. Za mednarodno primerjavo smo upoštevali kazalnik stroška energije glede na dodano vrednost pred stroški energije. Ta kazalnik z drugimi besedami pove, koliko so podjetja relativno obremenjena s stroški energije po plačilu neposrednih inputov (v primeru papirnic po plačilu celuloze, ali v prime</w:t>
      </w:r>
      <w:r>
        <w:rPr>
          <w:rFonts w:ascii="Calibri" w:hAnsi="Calibri" w:cs="Times New Roman"/>
          <w:bCs/>
          <w:kern w:val="0"/>
          <w:sz w:val="22"/>
          <w:szCs w:val="22"/>
          <w:lang w:val="sl-SI" w:eastAsia="sl-SI" w:bidi="ar-SA"/>
        </w:rPr>
        <w:t>r</w:t>
      </w:r>
      <w:r w:rsidRPr="00151FA0">
        <w:rPr>
          <w:rFonts w:ascii="Calibri" w:hAnsi="Calibri" w:cs="Times New Roman"/>
          <w:bCs/>
          <w:kern w:val="0"/>
          <w:sz w:val="22"/>
          <w:szCs w:val="22"/>
          <w:lang w:val="sl-SI" w:eastAsia="sl-SI" w:bidi="ar-SA"/>
        </w:rPr>
        <w:t xml:space="preserve">u železarn po plačilu železove rude in stroškov transporta). </w:t>
      </w:r>
    </w:p>
    <w:p w:rsidR="00314FAD" w:rsidRPr="00151FA0" w:rsidRDefault="00314FAD" w:rsidP="00D15B24">
      <w:pPr>
        <w:numPr>
          <w:ilvl w:val="0"/>
          <w:numId w:val="35"/>
        </w:numPr>
        <w:suppressAutoHyphens w:val="0"/>
        <w:spacing w:before="120" w:after="120"/>
        <w:ind w:left="357" w:hanging="357"/>
        <w:jc w:val="both"/>
        <w:rPr>
          <w:rFonts w:ascii="Calibri" w:hAnsi="Calibri" w:cs="Times New Roman"/>
          <w:bCs/>
          <w:kern w:val="0"/>
          <w:sz w:val="22"/>
          <w:szCs w:val="22"/>
          <w:lang w:val="sl-SI" w:eastAsia="sl-SI" w:bidi="ar-SA"/>
        </w:rPr>
      </w:pPr>
      <w:r w:rsidRPr="00151FA0">
        <w:rPr>
          <w:rFonts w:ascii="Calibri" w:hAnsi="Calibri" w:cs="Times New Roman"/>
          <w:bCs/>
          <w:kern w:val="0"/>
          <w:sz w:val="22"/>
          <w:szCs w:val="22"/>
          <w:lang w:val="sl-SI" w:eastAsia="sl-SI" w:bidi="ar-SA"/>
        </w:rPr>
        <w:t xml:space="preserve">Od podjetij smo pridobili tudi individualne podatke o količinski porabi </w:t>
      </w:r>
      <w:r w:rsidRPr="00151FA0">
        <w:rPr>
          <w:rFonts w:ascii="Calibri" w:hAnsi="Calibri" w:cs="Times New Roman"/>
          <w:bCs/>
          <w:kern w:val="0"/>
          <w:sz w:val="22"/>
          <w:szCs w:val="22"/>
          <w:lang w:val="sl-SI" w:eastAsia="sl-SI" w:bidi="ar-SA"/>
        </w:rPr>
        <w:lastRenderedPageBreak/>
        <w:t>električne energije, plina. Od ministr</w:t>
      </w:r>
      <w:r>
        <w:rPr>
          <w:rFonts w:ascii="Calibri" w:hAnsi="Calibri" w:cs="Times New Roman"/>
          <w:bCs/>
          <w:kern w:val="0"/>
          <w:sz w:val="22"/>
          <w:szCs w:val="22"/>
          <w:lang w:val="sl-SI" w:eastAsia="sl-SI" w:bidi="ar-SA"/>
        </w:rPr>
        <w:t>s</w:t>
      </w:r>
      <w:r w:rsidRPr="00151FA0">
        <w:rPr>
          <w:rFonts w:ascii="Calibri" w:hAnsi="Calibri" w:cs="Times New Roman"/>
          <w:bCs/>
          <w:kern w:val="0"/>
          <w:sz w:val="22"/>
          <w:szCs w:val="22"/>
          <w:lang w:val="sl-SI" w:eastAsia="sl-SI" w:bidi="ar-SA"/>
        </w:rPr>
        <w:t>tva smo pridobili podatke o oprostitvah za plačilo CO</w:t>
      </w:r>
      <w:r w:rsidRPr="00F95C64">
        <w:rPr>
          <w:rFonts w:ascii="Calibri" w:hAnsi="Calibri" w:cs="Times New Roman"/>
          <w:bCs/>
          <w:kern w:val="0"/>
          <w:sz w:val="22"/>
          <w:szCs w:val="22"/>
          <w:vertAlign w:val="subscript"/>
          <w:lang w:val="sl-SI" w:eastAsia="sl-SI" w:bidi="ar-SA"/>
        </w:rPr>
        <w:t>2</w:t>
      </w:r>
      <w:r w:rsidRPr="00151FA0">
        <w:rPr>
          <w:rFonts w:ascii="Calibri" w:hAnsi="Calibri" w:cs="Times New Roman"/>
          <w:bCs/>
          <w:kern w:val="0"/>
          <w:sz w:val="22"/>
          <w:szCs w:val="22"/>
          <w:lang w:val="sl-SI" w:eastAsia="sl-SI" w:bidi="ar-SA"/>
        </w:rPr>
        <w:t xml:space="preserve"> dajatve, ki je veljala do sedaj. Pri izračunu potencialno izgubljenih delovnih mest smo upoštevali zadnjo verzijo vladnega predloga (70 % oprostitev plačila CO</w:t>
      </w:r>
      <w:r w:rsidRPr="00F95C64">
        <w:rPr>
          <w:rFonts w:ascii="Calibri" w:hAnsi="Calibri" w:cs="Times New Roman"/>
          <w:bCs/>
          <w:kern w:val="0"/>
          <w:sz w:val="22"/>
          <w:szCs w:val="22"/>
          <w:vertAlign w:val="subscript"/>
          <w:lang w:val="sl-SI" w:eastAsia="sl-SI" w:bidi="ar-SA"/>
        </w:rPr>
        <w:t>2</w:t>
      </w:r>
      <w:r w:rsidRPr="00151FA0">
        <w:rPr>
          <w:rFonts w:ascii="Calibri" w:hAnsi="Calibri" w:cs="Times New Roman"/>
          <w:bCs/>
          <w:kern w:val="0"/>
          <w:sz w:val="22"/>
          <w:szCs w:val="22"/>
          <w:lang w:val="sl-SI" w:eastAsia="sl-SI" w:bidi="ar-SA"/>
        </w:rPr>
        <w:t xml:space="preserve"> dajatve in prehodno obdobje za obremenitve URE). Ocenili smo tudi izgube delovnih mest v primeru </w:t>
      </w:r>
      <w:r>
        <w:rPr>
          <w:rFonts w:ascii="Calibri" w:hAnsi="Calibri" w:cs="Times New Roman"/>
          <w:bCs/>
          <w:kern w:val="0"/>
          <w:sz w:val="22"/>
          <w:szCs w:val="22"/>
          <w:lang w:val="sl-SI" w:eastAsia="sl-SI" w:bidi="ar-SA"/>
        </w:rPr>
        <w:t xml:space="preserve">0 </w:t>
      </w:r>
      <w:r w:rsidRPr="00151FA0">
        <w:rPr>
          <w:rFonts w:ascii="Calibri" w:hAnsi="Calibri" w:cs="Times New Roman"/>
          <w:bCs/>
          <w:kern w:val="0"/>
          <w:sz w:val="22"/>
          <w:szCs w:val="22"/>
          <w:lang w:val="sl-SI" w:eastAsia="sl-SI" w:bidi="ar-SA"/>
        </w:rPr>
        <w:t>% oprostitve plačila CO</w:t>
      </w:r>
      <w:r w:rsidRPr="00F95C64">
        <w:rPr>
          <w:rFonts w:ascii="Calibri" w:hAnsi="Calibri" w:cs="Times New Roman"/>
          <w:bCs/>
          <w:kern w:val="0"/>
          <w:sz w:val="22"/>
          <w:szCs w:val="22"/>
          <w:vertAlign w:val="subscript"/>
          <w:lang w:val="sl-SI" w:eastAsia="sl-SI" w:bidi="ar-SA"/>
        </w:rPr>
        <w:t>2</w:t>
      </w:r>
      <w:r w:rsidRPr="00151FA0">
        <w:rPr>
          <w:rFonts w:ascii="Calibri" w:hAnsi="Calibri" w:cs="Times New Roman"/>
          <w:bCs/>
          <w:kern w:val="0"/>
          <w:sz w:val="22"/>
          <w:szCs w:val="22"/>
          <w:lang w:val="sl-SI" w:eastAsia="sl-SI" w:bidi="ar-SA"/>
        </w:rPr>
        <w:t xml:space="preserve"> dajatve, ki bi jo zavezanci morali plačati v primeru, da shema državne pomoči od 2015 dalje ne bo uveljavljena s 1.1.2015. </w:t>
      </w:r>
    </w:p>
    <w:p w:rsidR="00314FAD" w:rsidRDefault="00314FAD" w:rsidP="0018404B">
      <w:pPr>
        <w:numPr>
          <w:ilvl w:val="0"/>
          <w:numId w:val="35"/>
        </w:numPr>
        <w:suppressAutoHyphens w:val="0"/>
        <w:spacing w:before="120" w:after="120"/>
        <w:ind w:left="357" w:hanging="357"/>
        <w:jc w:val="both"/>
        <w:rPr>
          <w:rFonts w:ascii="Calibri" w:hAnsi="Calibri" w:cs="Times New Roman"/>
          <w:bCs/>
          <w:kern w:val="0"/>
          <w:sz w:val="22"/>
          <w:szCs w:val="22"/>
          <w:lang w:val="sl-SI" w:eastAsia="sl-SI" w:bidi="ar-SA"/>
        </w:rPr>
      </w:pPr>
      <w:r w:rsidRPr="00151FA0">
        <w:rPr>
          <w:rFonts w:ascii="Calibri" w:hAnsi="Calibri" w:cs="Times New Roman"/>
          <w:bCs/>
          <w:kern w:val="0"/>
          <w:sz w:val="22"/>
          <w:szCs w:val="22"/>
          <w:lang w:val="sl-SI" w:eastAsia="sl-SI" w:bidi="ar-SA"/>
        </w:rPr>
        <w:t xml:space="preserve">EID smo razdelili na poddejavnosti: C17.1 Proizvodnja vlaknin, papirja in kartona, C17.2 Proizvodnja izdelkov iz kartona in papirja, C23.1 Proizvodnja stekla, C23.3. Proizvodnja </w:t>
      </w:r>
      <w:r w:rsidRPr="00F95C64">
        <w:rPr>
          <w:rFonts w:ascii="Calibri" w:hAnsi="Calibri" w:cs="Times New Roman"/>
          <w:bCs/>
          <w:kern w:val="0"/>
          <w:sz w:val="22"/>
          <w:szCs w:val="22"/>
          <w:lang w:val="sl-SI" w:eastAsia="sl-SI" w:bidi="ar-SA"/>
        </w:rPr>
        <w:t>neognjevzdržne</w:t>
      </w:r>
      <w:r w:rsidRPr="00151FA0">
        <w:rPr>
          <w:rFonts w:ascii="Calibri" w:hAnsi="Calibri" w:cs="Times New Roman"/>
          <w:bCs/>
          <w:kern w:val="0"/>
          <w:sz w:val="22"/>
          <w:szCs w:val="22"/>
          <w:lang w:val="sl-SI" w:eastAsia="sl-SI" w:bidi="ar-SA"/>
        </w:rPr>
        <w:t xml:space="preserve"> keramike, C23.5 Proizvodnja cementa, apna in mavca, C24 Proizvodnja kovin. Za vsako od teh dejavnosti smo ugotovili, da je manj profitabilna od evropskega povprečja in da so med ostalimi razlogi prav relativno višji stroški energije tisti, ki vplivajo na slabše poslovanje družbe in s tem ogrožena delovna mesta.</w:t>
      </w:r>
    </w:p>
    <w:p w:rsidR="00314FAD" w:rsidRPr="00151FA0" w:rsidRDefault="00314FAD" w:rsidP="00FF5FA4">
      <w:pPr>
        <w:numPr>
          <w:ilvl w:val="0"/>
          <w:numId w:val="35"/>
        </w:numPr>
        <w:suppressAutoHyphens w:val="0"/>
        <w:spacing w:before="120" w:after="120"/>
        <w:ind w:left="357" w:hanging="357"/>
        <w:jc w:val="both"/>
        <w:rPr>
          <w:rFonts w:ascii="Calibri" w:hAnsi="Calibri"/>
          <w:sz w:val="22"/>
          <w:szCs w:val="22"/>
          <w:lang w:val="sl-SI"/>
        </w:rPr>
      </w:pPr>
      <w:r w:rsidRPr="00151FA0">
        <w:rPr>
          <w:rFonts w:ascii="Calibri" w:hAnsi="Calibri" w:cs="Times New Roman"/>
          <w:bCs/>
          <w:kern w:val="0"/>
          <w:sz w:val="22"/>
          <w:szCs w:val="22"/>
          <w:lang w:val="sl-SI" w:eastAsia="sl-SI" w:bidi="ar-SA"/>
        </w:rPr>
        <w:t>V naslednjem koraku smo za 22 najpomembnejših podjetij iz EID izračunali učinek na potencialna izgubljena mesta. Pri tem smo izhajali iz predpostavke, da podjetja za vrednost nove večje obremenitve ustrezno zmanjšajo število zaposlenih in da s tem kljub dodatni obremenitvi ohranijo isto višino dodane vrednosti na zaposlenega (optimizacije oz. krčenje zaposlitev). Pri tistih, ki poslujejo z izgubo in so tudi javno izrazila ne</w:t>
      </w:r>
      <w:r>
        <w:rPr>
          <w:rFonts w:ascii="Calibri" w:hAnsi="Calibri" w:cs="Times New Roman"/>
          <w:bCs/>
          <w:kern w:val="0"/>
          <w:sz w:val="22"/>
          <w:szCs w:val="22"/>
          <w:lang w:val="sl-SI" w:eastAsia="sl-SI" w:bidi="ar-SA"/>
        </w:rPr>
        <w:t>varnost</w:t>
      </w:r>
      <w:r w:rsidRPr="00151FA0">
        <w:rPr>
          <w:rFonts w:ascii="Calibri" w:hAnsi="Calibri" w:cs="Times New Roman"/>
          <w:bCs/>
          <w:kern w:val="0"/>
          <w:sz w:val="22"/>
          <w:szCs w:val="22"/>
          <w:lang w:val="sl-SI" w:eastAsia="sl-SI" w:bidi="ar-SA"/>
        </w:rPr>
        <w:t xml:space="preserve"> zaprtja in preselitve proizvodnje, smo upoštevali tudi zaprtje družbe in temu ustrezno znižanje delovnih mest. </w:t>
      </w:r>
    </w:p>
    <w:p w:rsidR="00314FAD" w:rsidRPr="00B37ACF" w:rsidRDefault="00314FAD" w:rsidP="00FF5FA4">
      <w:pPr>
        <w:numPr>
          <w:ilvl w:val="0"/>
          <w:numId w:val="35"/>
        </w:numPr>
        <w:suppressAutoHyphens w:val="0"/>
        <w:spacing w:before="120" w:after="120"/>
        <w:ind w:left="357" w:hanging="357"/>
        <w:jc w:val="both"/>
        <w:rPr>
          <w:rFonts w:ascii="Calibri" w:hAnsi="Calibri"/>
          <w:sz w:val="22"/>
          <w:szCs w:val="22"/>
          <w:lang w:val="sl-SI"/>
        </w:rPr>
      </w:pPr>
      <w:r w:rsidRPr="00151FA0">
        <w:rPr>
          <w:rFonts w:ascii="Calibri" w:hAnsi="Calibri" w:cs="Times New Roman"/>
          <w:bCs/>
          <w:kern w:val="0"/>
          <w:sz w:val="22"/>
          <w:szCs w:val="22"/>
          <w:lang w:val="sl-SI" w:eastAsia="sl-SI" w:bidi="ar-SA"/>
        </w:rPr>
        <w:t>Na ta način smo ocenili okvirno število neposredno izgubljenih delovnih mest (1.180 od tega 450 v steklarnah, 410 v papirnicah, 220 v proizvodnji kovin, 70 v proizvodnji kemičnih izdel</w:t>
      </w:r>
      <w:r>
        <w:rPr>
          <w:rFonts w:ascii="Calibri" w:hAnsi="Calibri" w:cs="Times New Roman"/>
          <w:bCs/>
          <w:kern w:val="0"/>
          <w:sz w:val="22"/>
          <w:szCs w:val="22"/>
          <w:lang w:val="sl-SI" w:eastAsia="sl-SI" w:bidi="ar-SA"/>
        </w:rPr>
        <w:t>k</w:t>
      </w:r>
      <w:r w:rsidRPr="00151FA0">
        <w:rPr>
          <w:rFonts w:ascii="Calibri" w:hAnsi="Calibri" w:cs="Times New Roman"/>
          <w:bCs/>
          <w:kern w:val="0"/>
          <w:sz w:val="22"/>
          <w:szCs w:val="22"/>
          <w:lang w:val="sl-SI" w:eastAsia="sl-SI" w:bidi="ar-SA"/>
        </w:rPr>
        <w:t xml:space="preserve">ov, 30 v proizvodnji gradbenega materiala). </w:t>
      </w:r>
    </w:p>
    <w:p w:rsidR="00314FAD" w:rsidRPr="001F67D3" w:rsidRDefault="00314FAD" w:rsidP="00FF5FA4">
      <w:pPr>
        <w:numPr>
          <w:ilvl w:val="0"/>
          <w:numId w:val="35"/>
        </w:numPr>
        <w:suppressAutoHyphens w:val="0"/>
        <w:spacing w:before="120" w:after="120"/>
        <w:ind w:left="357" w:hanging="357"/>
        <w:jc w:val="both"/>
        <w:rPr>
          <w:rFonts w:ascii="Calibri" w:hAnsi="Calibri"/>
          <w:sz w:val="22"/>
          <w:szCs w:val="22"/>
          <w:lang w:val="sl-SI"/>
        </w:rPr>
      </w:pPr>
      <w:r w:rsidRPr="00151FA0">
        <w:rPr>
          <w:rFonts w:ascii="Calibri" w:hAnsi="Calibri" w:cs="Times New Roman"/>
          <w:bCs/>
          <w:kern w:val="0"/>
          <w:sz w:val="22"/>
          <w:szCs w:val="22"/>
          <w:lang w:val="sl-SI" w:eastAsia="sl-SI" w:bidi="ar-SA"/>
        </w:rPr>
        <w:t>V naslednjem koraku smo določili višino multiplikatorja za potencialno izgubo posrednih delovnih mest. Pridobili smo ga s strani Zvez</w:t>
      </w:r>
      <w:r>
        <w:rPr>
          <w:rFonts w:ascii="Calibri" w:hAnsi="Calibri" w:cs="Times New Roman"/>
          <w:bCs/>
          <w:kern w:val="0"/>
          <w:sz w:val="22"/>
          <w:szCs w:val="22"/>
          <w:lang w:val="sl-SI" w:eastAsia="sl-SI" w:bidi="ar-SA"/>
        </w:rPr>
        <w:t>e</w:t>
      </w:r>
      <w:r w:rsidRPr="00151FA0">
        <w:rPr>
          <w:rFonts w:ascii="Calibri" w:hAnsi="Calibri" w:cs="Times New Roman"/>
          <w:bCs/>
          <w:kern w:val="0"/>
          <w:sz w:val="22"/>
          <w:szCs w:val="22"/>
          <w:lang w:val="sl-SI" w:eastAsia="sl-SI" w:bidi="ar-SA"/>
        </w:rPr>
        <w:t xml:space="preserve"> za energetsko intenzivno industrijo. Ta ocenjuje, da EID v Evropi zaposluje 4 mio neposrednih delovnih mest in še 30 mio v vrednostnih verigah. Implicitni multiplikator je tako 7,5 (30/4).</w:t>
      </w:r>
      <w:r>
        <w:rPr>
          <w:rStyle w:val="Sprotnaopomba-sklic"/>
          <w:rFonts w:ascii="Calibri" w:hAnsi="Calibri"/>
          <w:bCs/>
          <w:kern w:val="0"/>
          <w:sz w:val="22"/>
          <w:szCs w:val="22"/>
          <w:lang w:val="sl-SI" w:eastAsia="sl-SI" w:bidi="ar-SA"/>
        </w:rPr>
        <w:footnoteReference w:id="2"/>
      </w:r>
      <w:r w:rsidRPr="00151FA0">
        <w:rPr>
          <w:rFonts w:ascii="Calibri" w:hAnsi="Calibri" w:cs="Times New Roman"/>
          <w:bCs/>
          <w:kern w:val="0"/>
          <w:sz w:val="22"/>
          <w:szCs w:val="22"/>
          <w:lang w:val="sl-SI" w:eastAsia="sl-SI" w:bidi="ar-SA"/>
        </w:rPr>
        <w:t xml:space="preserve"> Ta ocena izhaja iz dejstva, da je dejavnosti EID kapitalsko-intenzivna in da pri  svojem delovanju podpira delovna mesta v transportu, energetiki, inženiringu, gradbeništvu. Na podlagi tega smo ocenili, da je poleg 1.130 neposredno ogroženih mest, ogroženih še 8.900 delovnih</w:t>
      </w:r>
      <w:r w:rsidRPr="00151FA0">
        <w:rPr>
          <w:rFonts w:ascii="Calibri" w:hAnsi="Calibri" w:cs="Arial"/>
          <w:sz w:val="22"/>
          <w:szCs w:val="22"/>
          <w:u w:val="single"/>
          <w:lang w:val="sl-SI"/>
        </w:rPr>
        <w:t xml:space="preserve"> mest v prej naštetih dejavnostih. </w:t>
      </w:r>
    </w:p>
    <w:p w:rsidR="00314FAD" w:rsidRPr="00D15B24" w:rsidRDefault="00314FAD" w:rsidP="00D34E6F">
      <w:pPr>
        <w:suppressAutoHyphens w:val="0"/>
        <w:spacing w:before="120" w:after="120"/>
        <w:jc w:val="both"/>
        <w:rPr>
          <w:rFonts w:ascii="Calibri" w:hAnsi="Calibri"/>
          <w:sz w:val="22"/>
          <w:szCs w:val="22"/>
          <w:lang w:val="sl-SI"/>
        </w:rPr>
      </w:pPr>
    </w:p>
    <w:p w:rsidR="00314FAD" w:rsidRPr="00D15B24" w:rsidRDefault="00314FAD" w:rsidP="00D34E6F">
      <w:pPr>
        <w:suppressAutoHyphens w:val="0"/>
        <w:spacing w:before="120" w:after="120"/>
        <w:jc w:val="both"/>
        <w:rPr>
          <w:rFonts w:ascii="Calibri" w:hAnsi="Calibri"/>
          <w:sz w:val="22"/>
          <w:szCs w:val="22"/>
          <w:lang w:val="sl-SI"/>
        </w:rPr>
      </w:pPr>
    </w:p>
    <w:p w:rsidR="00314FAD" w:rsidRPr="00D15B24" w:rsidRDefault="00314FAD" w:rsidP="00D34E6F">
      <w:pPr>
        <w:suppressAutoHyphens w:val="0"/>
        <w:spacing w:before="120" w:after="120"/>
        <w:jc w:val="both"/>
        <w:rPr>
          <w:rFonts w:ascii="Calibri" w:hAnsi="Calibri"/>
          <w:sz w:val="22"/>
          <w:szCs w:val="22"/>
          <w:lang w:val="sl-SI"/>
        </w:rPr>
        <w:sectPr w:rsidR="00314FAD" w:rsidRPr="00D15B24" w:rsidSect="00D34E6F">
          <w:headerReference w:type="default" r:id="rId10"/>
          <w:footerReference w:type="default" r:id="rId11"/>
          <w:headerReference w:type="first" r:id="rId12"/>
          <w:endnotePr>
            <w:numFmt w:val="decimal"/>
          </w:endnotePr>
          <w:pgSz w:w="11906" w:h="16838"/>
          <w:pgMar w:top="1701" w:right="1701" w:bottom="1418" w:left="1418" w:header="425" w:footer="278" w:gutter="0"/>
          <w:cols w:space="708"/>
          <w:titlePg/>
          <w:docGrid w:linePitch="326"/>
        </w:sectPr>
      </w:pPr>
    </w:p>
    <w:p w:rsidR="00314FAD" w:rsidRPr="00D15B24" w:rsidRDefault="00314FAD" w:rsidP="00D34E6F">
      <w:pPr>
        <w:suppressAutoHyphens w:val="0"/>
        <w:spacing w:before="120" w:after="120"/>
        <w:jc w:val="both"/>
        <w:rPr>
          <w:kern w:val="20"/>
          <w:sz w:val="28"/>
          <w:lang w:val="sl-SI"/>
        </w:rPr>
      </w:pPr>
      <w:r w:rsidRPr="00D15B24">
        <w:rPr>
          <w:rFonts w:ascii="Calibri" w:hAnsi="Calibri"/>
          <w:b/>
          <w:bCs/>
          <w:kern w:val="20"/>
          <w:sz w:val="28"/>
          <w:lang w:val="sl-SI"/>
        </w:rPr>
        <w:lastRenderedPageBreak/>
        <w:t>OCENA UČINKOV CO2 DAAJTVE NA DELOVNA MESTA PO SEKTORJIH INDUSTRIJE</w:t>
      </w:r>
    </w:p>
    <w:tbl>
      <w:tblPr>
        <w:tblW w:w="5211" w:type="pct"/>
        <w:tblInd w:w="-10" w:type="dxa"/>
        <w:tblLayout w:type="fixed"/>
        <w:tblCellMar>
          <w:left w:w="0" w:type="dxa"/>
          <w:right w:w="0" w:type="dxa"/>
        </w:tblCellMar>
        <w:tblLook w:val="00A0" w:firstRow="1" w:lastRow="0" w:firstColumn="1" w:lastColumn="0" w:noHBand="0" w:noVBand="0"/>
      </w:tblPr>
      <w:tblGrid>
        <w:gridCol w:w="5726"/>
        <w:gridCol w:w="1453"/>
        <w:gridCol w:w="1453"/>
        <w:gridCol w:w="1453"/>
        <w:gridCol w:w="1453"/>
        <w:gridCol w:w="1453"/>
        <w:gridCol w:w="1453"/>
      </w:tblGrid>
      <w:tr w:rsidR="00314FAD" w:rsidRPr="00AC4B14" w:rsidTr="00AC4B14">
        <w:trPr>
          <w:trHeight w:val="170"/>
        </w:trPr>
        <w:tc>
          <w:tcPr>
            <w:tcW w:w="1982" w:type="pct"/>
            <w:tcBorders>
              <w:top w:val="nil"/>
              <w:left w:val="single" w:sz="8" w:space="0" w:color="auto"/>
              <w:bottom w:val="single" w:sz="8" w:space="0" w:color="auto"/>
              <w:right w:val="single" w:sz="8" w:space="0" w:color="auto"/>
            </w:tcBorders>
            <w:shd w:val="clear" w:color="auto" w:fill="70AD47"/>
            <w:noWrap/>
            <w:tcMar>
              <w:top w:w="0" w:type="dxa"/>
              <w:left w:w="70" w:type="dxa"/>
              <w:bottom w:w="0" w:type="dxa"/>
              <w:right w:w="70" w:type="dxa"/>
            </w:tcMar>
            <w:vAlign w:val="bottom"/>
          </w:tcPr>
          <w:p w:rsidR="00314FAD" w:rsidRPr="00AC4B14" w:rsidRDefault="00314FAD" w:rsidP="00AC4B14">
            <w:pPr>
              <w:spacing w:after="0"/>
              <w:rPr>
                <w:rFonts w:ascii="Calibri" w:hAnsi="Calibri"/>
                <w:b/>
                <w:bCs/>
                <w:sz w:val="24"/>
              </w:rPr>
            </w:pPr>
            <w:r w:rsidRPr="00AC4B14">
              <w:rPr>
                <w:rFonts w:ascii="Calibri" w:hAnsi="Calibri"/>
                <w:b/>
                <w:bCs/>
                <w:sz w:val="24"/>
              </w:rPr>
              <w:t>KAZALCI POSLOVANJA</w:t>
            </w:r>
          </w:p>
        </w:tc>
        <w:tc>
          <w:tcPr>
            <w:tcW w:w="503" w:type="pct"/>
            <w:tcBorders>
              <w:top w:val="nil"/>
              <w:left w:val="nil"/>
              <w:bottom w:val="single" w:sz="8" w:space="0" w:color="auto"/>
              <w:right w:val="single" w:sz="8" w:space="0" w:color="auto"/>
            </w:tcBorders>
            <w:shd w:val="clear" w:color="auto" w:fill="70AD47"/>
            <w:noWrap/>
            <w:tcMar>
              <w:top w:w="0" w:type="dxa"/>
              <w:left w:w="70" w:type="dxa"/>
              <w:bottom w:w="0" w:type="dxa"/>
              <w:right w:w="70" w:type="dxa"/>
            </w:tcMar>
            <w:vAlign w:val="bottom"/>
          </w:tcPr>
          <w:p w:rsidR="00314FAD" w:rsidRDefault="00314FAD" w:rsidP="00AC4B14">
            <w:pPr>
              <w:spacing w:before="0" w:after="0"/>
              <w:jc w:val="center"/>
              <w:rPr>
                <w:rFonts w:ascii="Calibri" w:hAnsi="Calibri"/>
                <w:b/>
                <w:sz w:val="24"/>
              </w:rPr>
            </w:pPr>
            <w:r w:rsidRPr="00AC4B14">
              <w:rPr>
                <w:rFonts w:ascii="Calibri" w:hAnsi="Calibri"/>
                <w:b/>
                <w:sz w:val="24"/>
              </w:rPr>
              <w:t xml:space="preserve">Proizv </w:t>
            </w:r>
          </w:p>
          <w:p w:rsidR="00314FAD" w:rsidRPr="00AC4B14" w:rsidRDefault="00314FAD" w:rsidP="00AC4B14">
            <w:pPr>
              <w:spacing w:before="0" w:after="0"/>
              <w:jc w:val="center"/>
              <w:rPr>
                <w:rFonts w:ascii="Calibri" w:hAnsi="Calibri"/>
                <w:b/>
                <w:sz w:val="24"/>
              </w:rPr>
            </w:pPr>
            <w:r w:rsidRPr="00AC4B14">
              <w:rPr>
                <w:rFonts w:ascii="Calibri" w:hAnsi="Calibri"/>
                <w:b/>
                <w:sz w:val="24"/>
              </w:rPr>
              <w:t>kem. izd.</w:t>
            </w:r>
          </w:p>
        </w:tc>
        <w:tc>
          <w:tcPr>
            <w:tcW w:w="503" w:type="pct"/>
            <w:tcBorders>
              <w:top w:val="nil"/>
              <w:left w:val="nil"/>
              <w:bottom w:val="single" w:sz="8" w:space="0" w:color="auto"/>
              <w:right w:val="single" w:sz="8" w:space="0" w:color="auto"/>
            </w:tcBorders>
            <w:shd w:val="clear" w:color="auto" w:fill="70AD47"/>
            <w:noWrap/>
            <w:tcMar>
              <w:top w:w="0" w:type="dxa"/>
              <w:left w:w="70" w:type="dxa"/>
              <w:bottom w:w="0" w:type="dxa"/>
              <w:right w:w="70" w:type="dxa"/>
            </w:tcMar>
            <w:vAlign w:val="bottom"/>
          </w:tcPr>
          <w:p w:rsidR="00314FAD" w:rsidRDefault="00314FAD" w:rsidP="00AC4B14">
            <w:pPr>
              <w:spacing w:before="0" w:after="0"/>
              <w:jc w:val="center"/>
              <w:rPr>
                <w:rFonts w:ascii="Calibri" w:hAnsi="Calibri"/>
                <w:b/>
                <w:sz w:val="24"/>
              </w:rPr>
            </w:pPr>
            <w:r w:rsidRPr="00AC4B14">
              <w:rPr>
                <w:rFonts w:ascii="Calibri" w:hAnsi="Calibri"/>
                <w:b/>
                <w:sz w:val="24"/>
              </w:rPr>
              <w:t>Proizv</w:t>
            </w:r>
          </w:p>
          <w:p w:rsidR="00314FAD" w:rsidRPr="00AC4B14" w:rsidRDefault="00314FAD" w:rsidP="00AC4B14">
            <w:pPr>
              <w:spacing w:before="0" w:after="0"/>
              <w:jc w:val="center"/>
              <w:rPr>
                <w:rFonts w:ascii="Calibri" w:hAnsi="Calibri"/>
                <w:b/>
                <w:sz w:val="24"/>
              </w:rPr>
            </w:pPr>
            <w:r w:rsidRPr="00AC4B14">
              <w:rPr>
                <w:rFonts w:ascii="Calibri" w:hAnsi="Calibri"/>
                <w:b/>
                <w:sz w:val="24"/>
              </w:rPr>
              <w:t xml:space="preserve"> gradb mat</w:t>
            </w:r>
          </w:p>
        </w:tc>
        <w:tc>
          <w:tcPr>
            <w:tcW w:w="503" w:type="pct"/>
            <w:tcBorders>
              <w:top w:val="nil"/>
              <w:left w:val="nil"/>
              <w:bottom w:val="single" w:sz="8" w:space="0" w:color="auto"/>
              <w:right w:val="single" w:sz="8" w:space="0" w:color="auto"/>
            </w:tcBorders>
            <w:shd w:val="clear" w:color="auto" w:fill="70AD47"/>
            <w:noWrap/>
            <w:tcMar>
              <w:top w:w="0" w:type="dxa"/>
              <w:left w:w="70" w:type="dxa"/>
              <w:bottom w:w="0" w:type="dxa"/>
              <w:right w:w="70" w:type="dxa"/>
            </w:tcMar>
            <w:vAlign w:val="bottom"/>
          </w:tcPr>
          <w:p w:rsidR="00314FAD" w:rsidRDefault="00314FAD" w:rsidP="00AC4B14">
            <w:pPr>
              <w:spacing w:before="0" w:after="0"/>
              <w:jc w:val="center"/>
              <w:rPr>
                <w:rFonts w:ascii="Calibri" w:hAnsi="Calibri"/>
                <w:b/>
                <w:sz w:val="24"/>
              </w:rPr>
            </w:pPr>
            <w:r w:rsidRPr="00AC4B14">
              <w:rPr>
                <w:rFonts w:ascii="Calibri" w:hAnsi="Calibri"/>
                <w:b/>
                <w:sz w:val="24"/>
              </w:rPr>
              <w:t xml:space="preserve">Proizv </w:t>
            </w:r>
          </w:p>
          <w:p w:rsidR="00314FAD" w:rsidRPr="00AC4B14" w:rsidRDefault="00314FAD" w:rsidP="00AC4B14">
            <w:pPr>
              <w:spacing w:before="0" w:after="0"/>
              <w:jc w:val="center"/>
              <w:rPr>
                <w:rFonts w:ascii="Calibri" w:hAnsi="Calibri"/>
                <w:b/>
                <w:sz w:val="24"/>
              </w:rPr>
            </w:pPr>
            <w:r w:rsidRPr="00AC4B14">
              <w:rPr>
                <w:rFonts w:ascii="Calibri" w:hAnsi="Calibri"/>
                <w:b/>
                <w:sz w:val="24"/>
              </w:rPr>
              <w:t>kovin</w:t>
            </w:r>
          </w:p>
        </w:tc>
        <w:tc>
          <w:tcPr>
            <w:tcW w:w="503" w:type="pct"/>
            <w:tcBorders>
              <w:top w:val="nil"/>
              <w:left w:val="nil"/>
              <w:bottom w:val="single" w:sz="8" w:space="0" w:color="auto"/>
              <w:right w:val="single" w:sz="8" w:space="0" w:color="auto"/>
            </w:tcBorders>
            <w:shd w:val="clear" w:color="auto" w:fill="70AD47"/>
            <w:noWrap/>
            <w:tcMar>
              <w:top w:w="0" w:type="dxa"/>
              <w:left w:w="70" w:type="dxa"/>
              <w:bottom w:w="0" w:type="dxa"/>
              <w:right w:w="70" w:type="dxa"/>
            </w:tcMar>
            <w:vAlign w:val="bottom"/>
          </w:tcPr>
          <w:p w:rsidR="00314FAD" w:rsidRPr="00AC4B14" w:rsidRDefault="00314FAD" w:rsidP="00AC4B14">
            <w:pPr>
              <w:spacing w:before="0" w:after="0"/>
              <w:jc w:val="center"/>
              <w:rPr>
                <w:rFonts w:ascii="Calibri" w:hAnsi="Calibri"/>
                <w:b/>
                <w:sz w:val="24"/>
              </w:rPr>
            </w:pPr>
            <w:r w:rsidRPr="00AC4B14">
              <w:rPr>
                <w:rFonts w:ascii="Calibri" w:hAnsi="Calibri"/>
                <w:b/>
                <w:sz w:val="24"/>
              </w:rPr>
              <w:t>Steklarne</w:t>
            </w:r>
          </w:p>
        </w:tc>
        <w:tc>
          <w:tcPr>
            <w:tcW w:w="503" w:type="pct"/>
            <w:tcBorders>
              <w:top w:val="nil"/>
              <w:left w:val="nil"/>
              <w:bottom w:val="single" w:sz="8" w:space="0" w:color="auto"/>
              <w:right w:val="single" w:sz="8" w:space="0" w:color="auto"/>
            </w:tcBorders>
            <w:shd w:val="clear" w:color="auto" w:fill="70AD47"/>
            <w:noWrap/>
            <w:tcMar>
              <w:top w:w="0" w:type="dxa"/>
              <w:left w:w="70" w:type="dxa"/>
              <w:bottom w:w="0" w:type="dxa"/>
              <w:right w:w="70" w:type="dxa"/>
            </w:tcMar>
            <w:vAlign w:val="bottom"/>
          </w:tcPr>
          <w:p w:rsidR="00314FAD" w:rsidRPr="00AC4B14" w:rsidRDefault="00314FAD" w:rsidP="00AC4B14">
            <w:pPr>
              <w:spacing w:before="0" w:after="0"/>
              <w:jc w:val="center"/>
              <w:rPr>
                <w:rFonts w:ascii="Calibri" w:hAnsi="Calibri"/>
                <w:b/>
                <w:sz w:val="24"/>
              </w:rPr>
            </w:pPr>
            <w:r w:rsidRPr="00AC4B14">
              <w:rPr>
                <w:rFonts w:ascii="Calibri" w:hAnsi="Calibri"/>
                <w:b/>
                <w:sz w:val="24"/>
              </w:rPr>
              <w:t>Papirnice</w:t>
            </w:r>
          </w:p>
        </w:tc>
        <w:tc>
          <w:tcPr>
            <w:tcW w:w="503" w:type="pct"/>
            <w:tcBorders>
              <w:top w:val="nil"/>
              <w:left w:val="nil"/>
              <w:bottom w:val="single" w:sz="8" w:space="0" w:color="auto"/>
              <w:right w:val="single" w:sz="8" w:space="0" w:color="auto"/>
            </w:tcBorders>
            <w:shd w:val="clear" w:color="auto" w:fill="70AD47"/>
            <w:noWrap/>
            <w:tcMar>
              <w:top w:w="0" w:type="dxa"/>
              <w:left w:w="70" w:type="dxa"/>
              <w:bottom w:w="0" w:type="dxa"/>
              <w:right w:w="70" w:type="dxa"/>
            </w:tcMar>
            <w:vAlign w:val="bottom"/>
          </w:tcPr>
          <w:p w:rsidR="00314FAD" w:rsidRPr="00AC4B14" w:rsidRDefault="00314FAD" w:rsidP="00AC4B14">
            <w:pPr>
              <w:spacing w:before="0" w:after="0"/>
              <w:jc w:val="center"/>
              <w:rPr>
                <w:rFonts w:ascii="Calibri" w:hAnsi="Calibri"/>
                <w:b/>
                <w:sz w:val="24"/>
              </w:rPr>
            </w:pPr>
            <w:r w:rsidRPr="00AC4B14">
              <w:rPr>
                <w:rFonts w:ascii="Calibri" w:hAnsi="Calibri"/>
                <w:b/>
                <w:sz w:val="24"/>
              </w:rPr>
              <w:t>SKUPAJ</w:t>
            </w:r>
          </w:p>
        </w:tc>
      </w:tr>
      <w:tr w:rsidR="00314FAD" w:rsidTr="00AC4B14">
        <w:trPr>
          <w:trHeight w:val="170"/>
        </w:trPr>
        <w:tc>
          <w:tcPr>
            <w:tcW w:w="19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rPr>
                <w:rFonts w:ascii="Calibri" w:hAnsi="Calibri"/>
                <w:szCs w:val="20"/>
              </w:rPr>
            </w:pPr>
            <w:r>
              <w:rPr>
                <w:rFonts w:ascii="Calibri" w:hAnsi="Calibri"/>
                <w:szCs w:val="20"/>
              </w:rPr>
              <w:t>Število podjetij</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3</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6</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4</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2</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7</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22</w:t>
            </w:r>
          </w:p>
        </w:tc>
      </w:tr>
      <w:tr w:rsidR="00314FAD" w:rsidTr="00AC4B14">
        <w:trPr>
          <w:trHeight w:val="170"/>
        </w:trPr>
        <w:tc>
          <w:tcPr>
            <w:tcW w:w="19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rPr>
                <w:rFonts w:ascii="Calibri" w:hAnsi="Calibri"/>
                <w:szCs w:val="20"/>
              </w:rPr>
            </w:pPr>
            <w:r>
              <w:rPr>
                <w:rFonts w:ascii="Calibri" w:hAnsi="Calibri"/>
                <w:szCs w:val="20"/>
              </w:rPr>
              <w:t>Število zaposlenih</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1.655</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939</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3.463</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1.283</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2.185</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9.525</w:t>
            </w:r>
          </w:p>
        </w:tc>
      </w:tr>
      <w:tr w:rsidR="00314FAD" w:rsidTr="00AC4B14">
        <w:trPr>
          <w:trHeight w:val="170"/>
        </w:trPr>
        <w:tc>
          <w:tcPr>
            <w:tcW w:w="19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rPr>
                <w:rFonts w:ascii="Calibri" w:hAnsi="Calibri"/>
                <w:szCs w:val="20"/>
              </w:rPr>
            </w:pPr>
            <w:r>
              <w:rPr>
                <w:rFonts w:ascii="Calibri" w:hAnsi="Calibri"/>
                <w:szCs w:val="20"/>
              </w:rPr>
              <w:t>Prihodki skupaj v €</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406.015.438</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321.033.415</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1.512.911.496</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75.579.229</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486.477.725</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2.802.017.303</w:t>
            </w:r>
          </w:p>
        </w:tc>
      </w:tr>
      <w:tr w:rsidR="00314FAD" w:rsidTr="00AC4B14">
        <w:trPr>
          <w:trHeight w:val="170"/>
        </w:trPr>
        <w:tc>
          <w:tcPr>
            <w:tcW w:w="19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rPr>
                <w:rFonts w:ascii="Calibri" w:hAnsi="Calibri"/>
                <w:szCs w:val="20"/>
              </w:rPr>
            </w:pPr>
            <w:r>
              <w:rPr>
                <w:rFonts w:ascii="Calibri" w:hAnsi="Calibri"/>
                <w:szCs w:val="20"/>
              </w:rPr>
              <w:t>Prihodki izvoz v €</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363.990.239</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273.166.826</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1.022.502.785</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67.715.010</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424.681.566</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2.152.056.426</w:t>
            </w:r>
          </w:p>
        </w:tc>
      </w:tr>
      <w:tr w:rsidR="00314FAD" w:rsidTr="00AC4B14">
        <w:trPr>
          <w:trHeight w:val="170"/>
        </w:trPr>
        <w:tc>
          <w:tcPr>
            <w:tcW w:w="19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rPr>
                <w:rFonts w:ascii="Calibri" w:hAnsi="Calibri"/>
                <w:szCs w:val="20"/>
              </w:rPr>
            </w:pPr>
            <w:r>
              <w:rPr>
                <w:rFonts w:ascii="Calibri" w:hAnsi="Calibri"/>
                <w:szCs w:val="20"/>
              </w:rPr>
              <w:t>% izvoza</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90%</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85%</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68%</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90%</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87%</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77%</w:t>
            </w:r>
          </w:p>
        </w:tc>
      </w:tr>
      <w:tr w:rsidR="00314FAD" w:rsidTr="00AC4B14">
        <w:trPr>
          <w:trHeight w:val="170"/>
        </w:trPr>
        <w:tc>
          <w:tcPr>
            <w:tcW w:w="19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rPr>
                <w:rFonts w:ascii="Calibri" w:hAnsi="Calibri"/>
                <w:szCs w:val="20"/>
              </w:rPr>
            </w:pPr>
            <w:r>
              <w:rPr>
                <w:rFonts w:ascii="Calibri" w:hAnsi="Calibri"/>
                <w:szCs w:val="20"/>
              </w:rPr>
              <w:t>Strošek dela v €</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43.932.323</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24.248.214</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95.396.749</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26.050.445</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54.656.505</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244.284.236</w:t>
            </w:r>
          </w:p>
        </w:tc>
      </w:tr>
      <w:tr w:rsidR="00314FAD" w:rsidTr="00AC4B14">
        <w:trPr>
          <w:trHeight w:val="170"/>
        </w:trPr>
        <w:tc>
          <w:tcPr>
            <w:tcW w:w="19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rPr>
                <w:rFonts w:ascii="Calibri" w:hAnsi="Calibri"/>
                <w:szCs w:val="20"/>
              </w:rPr>
            </w:pPr>
            <w:r>
              <w:rPr>
                <w:rFonts w:ascii="Calibri" w:hAnsi="Calibri"/>
                <w:szCs w:val="20"/>
              </w:rPr>
              <w:t>Strošek dela/zap v €</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26.541</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25.816</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27.549</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20.301</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25.020</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25.647</w:t>
            </w:r>
          </w:p>
        </w:tc>
      </w:tr>
      <w:tr w:rsidR="00314FAD" w:rsidTr="00AC4B14">
        <w:trPr>
          <w:trHeight w:val="170"/>
        </w:trPr>
        <w:tc>
          <w:tcPr>
            <w:tcW w:w="19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rPr>
                <w:rFonts w:ascii="Calibri" w:hAnsi="Calibri"/>
                <w:szCs w:val="20"/>
              </w:rPr>
            </w:pPr>
            <w:r>
              <w:rPr>
                <w:rFonts w:ascii="Calibri" w:hAnsi="Calibri"/>
                <w:szCs w:val="20"/>
              </w:rPr>
              <w:t>Strošek energentov v €</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30.738.232</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31.105.657</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152.930.836</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13.335.096</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70.749.218</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298.859.039</w:t>
            </w:r>
          </w:p>
        </w:tc>
      </w:tr>
      <w:tr w:rsidR="00314FAD" w:rsidTr="00AC4B14">
        <w:trPr>
          <w:trHeight w:val="170"/>
        </w:trPr>
        <w:tc>
          <w:tcPr>
            <w:tcW w:w="19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rPr>
                <w:rFonts w:ascii="Calibri" w:hAnsi="Calibri"/>
                <w:szCs w:val="20"/>
              </w:rPr>
            </w:pPr>
            <w:r>
              <w:rPr>
                <w:rFonts w:ascii="Calibri" w:hAnsi="Calibri"/>
                <w:szCs w:val="20"/>
              </w:rPr>
              <w:t>% Str.energ/ptrihodkih</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8%</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10%</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10%</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18%</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15%</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11%</w:t>
            </w:r>
          </w:p>
        </w:tc>
      </w:tr>
      <w:tr w:rsidR="00314FAD" w:rsidTr="00AC4B14">
        <w:trPr>
          <w:trHeight w:val="170"/>
        </w:trPr>
        <w:tc>
          <w:tcPr>
            <w:tcW w:w="1982" w:type="pct"/>
            <w:tcBorders>
              <w:top w:val="nil"/>
              <w:left w:val="single" w:sz="8" w:space="0" w:color="auto"/>
              <w:bottom w:val="single" w:sz="8" w:space="0" w:color="auto"/>
              <w:right w:val="single" w:sz="8" w:space="0" w:color="auto"/>
            </w:tcBorders>
            <w:shd w:val="clear" w:color="auto" w:fill="FFD966"/>
            <w:noWrap/>
            <w:tcMar>
              <w:top w:w="0" w:type="dxa"/>
              <w:left w:w="70" w:type="dxa"/>
              <w:bottom w:w="0" w:type="dxa"/>
              <w:right w:w="70" w:type="dxa"/>
            </w:tcMar>
            <w:vAlign w:val="bottom"/>
          </w:tcPr>
          <w:p w:rsidR="00314FAD" w:rsidRDefault="00314FAD" w:rsidP="00D34E6F">
            <w:pPr>
              <w:spacing w:before="0" w:after="0"/>
              <w:rPr>
                <w:rFonts w:ascii="Calibri" w:hAnsi="Calibri"/>
                <w:szCs w:val="20"/>
              </w:rPr>
            </w:pPr>
            <w:r>
              <w:rPr>
                <w:rFonts w:ascii="Calibri" w:hAnsi="Calibri"/>
                <w:szCs w:val="20"/>
              </w:rPr>
              <w:t>Čisti dobiček/izguba v €</w:t>
            </w:r>
          </w:p>
        </w:tc>
        <w:tc>
          <w:tcPr>
            <w:tcW w:w="503" w:type="pct"/>
            <w:tcBorders>
              <w:top w:val="nil"/>
              <w:left w:val="nil"/>
              <w:bottom w:val="single" w:sz="8" w:space="0" w:color="auto"/>
              <w:right w:val="single" w:sz="8" w:space="0" w:color="auto"/>
            </w:tcBorders>
            <w:shd w:val="clear" w:color="auto" w:fill="FFD966"/>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7.177.306</w:t>
            </w:r>
          </w:p>
        </w:tc>
        <w:tc>
          <w:tcPr>
            <w:tcW w:w="503" w:type="pct"/>
            <w:tcBorders>
              <w:top w:val="nil"/>
              <w:left w:val="nil"/>
              <w:bottom w:val="single" w:sz="8" w:space="0" w:color="auto"/>
              <w:right w:val="single" w:sz="8" w:space="0" w:color="auto"/>
            </w:tcBorders>
            <w:shd w:val="clear" w:color="auto" w:fill="FFD966"/>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-871.966</w:t>
            </w:r>
          </w:p>
        </w:tc>
        <w:tc>
          <w:tcPr>
            <w:tcW w:w="503" w:type="pct"/>
            <w:tcBorders>
              <w:top w:val="nil"/>
              <w:left w:val="nil"/>
              <w:bottom w:val="single" w:sz="8" w:space="0" w:color="auto"/>
              <w:right w:val="single" w:sz="8" w:space="0" w:color="auto"/>
            </w:tcBorders>
            <w:shd w:val="clear" w:color="auto" w:fill="FFD966"/>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-22.804.525</w:t>
            </w:r>
          </w:p>
        </w:tc>
        <w:tc>
          <w:tcPr>
            <w:tcW w:w="503" w:type="pct"/>
            <w:tcBorders>
              <w:top w:val="nil"/>
              <w:left w:val="nil"/>
              <w:bottom w:val="single" w:sz="8" w:space="0" w:color="auto"/>
              <w:right w:val="single" w:sz="8" w:space="0" w:color="auto"/>
            </w:tcBorders>
            <w:shd w:val="clear" w:color="auto" w:fill="FFD966"/>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-7.962.884</w:t>
            </w:r>
          </w:p>
        </w:tc>
        <w:tc>
          <w:tcPr>
            <w:tcW w:w="503" w:type="pct"/>
            <w:tcBorders>
              <w:top w:val="nil"/>
              <w:left w:val="nil"/>
              <w:bottom w:val="single" w:sz="8" w:space="0" w:color="auto"/>
              <w:right w:val="single" w:sz="8" w:space="0" w:color="auto"/>
            </w:tcBorders>
            <w:shd w:val="clear" w:color="auto" w:fill="FFD966"/>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5.655.341</w:t>
            </w:r>
          </w:p>
        </w:tc>
        <w:tc>
          <w:tcPr>
            <w:tcW w:w="503" w:type="pct"/>
            <w:tcBorders>
              <w:top w:val="nil"/>
              <w:left w:val="nil"/>
              <w:bottom w:val="single" w:sz="8" w:space="0" w:color="auto"/>
              <w:right w:val="single" w:sz="8" w:space="0" w:color="auto"/>
            </w:tcBorders>
            <w:shd w:val="clear" w:color="auto" w:fill="FFD966"/>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-18.806.728</w:t>
            </w:r>
          </w:p>
        </w:tc>
      </w:tr>
      <w:tr w:rsidR="00314FAD" w:rsidTr="00AC4B14">
        <w:trPr>
          <w:trHeight w:val="170"/>
        </w:trPr>
        <w:tc>
          <w:tcPr>
            <w:tcW w:w="1982" w:type="pct"/>
            <w:tcBorders>
              <w:top w:val="nil"/>
              <w:left w:val="single" w:sz="8" w:space="0" w:color="auto"/>
              <w:bottom w:val="single" w:sz="8" w:space="0" w:color="auto"/>
              <w:right w:val="single" w:sz="8" w:space="0" w:color="auto"/>
            </w:tcBorders>
            <w:shd w:val="clear" w:color="auto" w:fill="FFD966"/>
            <w:noWrap/>
            <w:tcMar>
              <w:top w:w="0" w:type="dxa"/>
              <w:left w:w="70" w:type="dxa"/>
              <w:bottom w:w="0" w:type="dxa"/>
              <w:right w:w="70" w:type="dxa"/>
            </w:tcMar>
            <w:vAlign w:val="bottom"/>
          </w:tcPr>
          <w:p w:rsidR="00314FAD" w:rsidRDefault="00314FAD" w:rsidP="00D34E6F">
            <w:pPr>
              <w:spacing w:before="0" w:after="0"/>
              <w:rPr>
                <w:rFonts w:ascii="Calibri" w:hAnsi="Calibri"/>
                <w:szCs w:val="20"/>
              </w:rPr>
            </w:pPr>
            <w:r>
              <w:rPr>
                <w:rFonts w:ascii="Calibri" w:hAnsi="Calibri"/>
                <w:szCs w:val="20"/>
              </w:rPr>
              <w:t>Preneseni dobiček/izguba v €</w:t>
            </w:r>
          </w:p>
        </w:tc>
        <w:tc>
          <w:tcPr>
            <w:tcW w:w="503" w:type="pct"/>
            <w:tcBorders>
              <w:top w:val="nil"/>
              <w:left w:val="nil"/>
              <w:bottom w:val="single" w:sz="8" w:space="0" w:color="auto"/>
              <w:right w:val="single" w:sz="8" w:space="0" w:color="auto"/>
            </w:tcBorders>
            <w:shd w:val="clear" w:color="auto" w:fill="FFD966"/>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4.536.571</w:t>
            </w:r>
          </w:p>
        </w:tc>
        <w:tc>
          <w:tcPr>
            <w:tcW w:w="503" w:type="pct"/>
            <w:tcBorders>
              <w:top w:val="nil"/>
              <w:left w:val="nil"/>
              <w:bottom w:val="single" w:sz="8" w:space="0" w:color="auto"/>
              <w:right w:val="single" w:sz="8" w:space="0" w:color="auto"/>
            </w:tcBorders>
            <w:shd w:val="clear" w:color="auto" w:fill="FFD966"/>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11.785.310</w:t>
            </w:r>
          </w:p>
        </w:tc>
        <w:tc>
          <w:tcPr>
            <w:tcW w:w="503" w:type="pct"/>
            <w:tcBorders>
              <w:top w:val="nil"/>
              <w:left w:val="nil"/>
              <w:bottom w:val="single" w:sz="8" w:space="0" w:color="auto"/>
              <w:right w:val="single" w:sz="8" w:space="0" w:color="auto"/>
            </w:tcBorders>
            <w:shd w:val="clear" w:color="auto" w:fill="FFD966"/>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97.788.060</w:t>
            </w:r>
          </w:p>
        </w:tc>
        <w:tc>
          <w:tcPr>
            <w:tcW w:w="503" w:type="pct"/>
            <w:tcBorders>
              <w:top w:val="nil"/>
              <w:left w:val="nil"/>
              <w:bottom w:val="single" w:sz="8" w:space="0" w:color="auto"/>
              <w:right w:val="single" w:sz="8" w:space="0" w:color="auto"/>
            </w:tcBorders>
            <w:shd w:val="clear" w:color="auto" w:fill="FFD966"/>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-498.257</w:t>
            </w:r>
          </w:p>
        </w:tc>
        <w:tc>
          <w:tcPr>
            <w:tcW w:w="503" w:type="pct"/>
            <w:tcBorders>
              <w:top w:val="nil"/>
              <w:left w:val="nil"/>
              <w:bottom w:val="single" w:sz="8" w:space="0" w:color="auto"/>
              <w:right w:val="single" w:sz="8" w:space="0" w:color="auto"/>
            </w:tcBorders>
            <w:shd w:val="clear" w:color="auto" w:fill="FFD966"/>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35.918.464</w:t>
            </w:r>
          </w:p>
        </w:tc>
        <w:tc>
          <w:tcPr>
            <w:tcW w:w="503" w:type="pct"/>
            <w:tcBorders>
              <w:top w:val="nil"/>
              <w:left w:val="nil"/>
              <w:bottom w:val="single" w:sz="8" w:space="0" w:color="auto"/>
              <w:right w:val="single" w:sz="8" w:space="0" w:color="auto"/>
            </w:tcBorders>
            <w:shd w:val="clear" w:color="auto" w:fill="FFD966"/>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149.530.148</w:t>
            </w:r>
          </w:p>
        </w:tc>
      </w:tr>
      <w:tr w:rsidR="00314FAD" w:rsidTr="00AC4B14">
        <w:trPr>
          <w:trHeight w:val="170"/>
        </w:trPr>
        <w:tc>
          <w:tcPr>
            <w:tcW w:w="19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rPr>
                <w:rFonts w:ascii="Calibri" w:hAnsi="Calibri"/>
                <w:szCs w:val="20"/>
              </w:rPr>
            </w:pPr>
            <w:r>
              <w:rPr>
                <w:rFonts w:ascii="Calibri" w:hAnsi="Calibri"/>
                <w:szCs w:val="20"/>
              </w:rPr>
              <w:t>Dodana vrednost v €</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78.475.636</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46.195.208</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163.369.924</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32.376.024</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91.272.005</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411.688.797</w:t>
            </w:r>
          </w:p>
        </w:tc>
      </w:tr>
      <w:tr w:rsidR="00314FAD" w:rsidTr="00AC4B14">
        <w:trPr>
          <w:trHeight w:val="170"/>
        </w:trPr>
        <w:tc>
          <w:tcPr>
            <w:tcW w:w="19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rPr>
                <w:rFonts w:ascii="Calibri" w:hAnsi="Calibri"/>
                <w:szCs w:val="20"/>
              </w:rPr>
            </w:pPr>
            <w:r>
              <w:rPr>
                <w:rFonts w:ascii="Calibri" w:hAnsi="Calibri"/>
                <w:szCs w:val="20"/>
              </w:rPr>
              <w:t>Dodana vrednost/zaposlenega v €</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47.409</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49.183</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47.179</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25.231</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41.781</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D34E6F">
            <w:pPr>
              <w:spacing w:before="0" w:after="0"/>
              <w:jc w:val="right"/>
              <w:rPr>
                <w:rFonts w:ascii="Calibri" w:hAnsi="Calibri"/>
                <w:szCs w:val="20"/>
              </w:rPr>
            </w:pPr>
            <w:r>
              <w:rPr>
                <w:rFonts w:ascii="Calibri" w:hAnsi="Calibri"/>
                <w:szCs w:val="20"/>
              </w:rPr>
              <w:t>43.222</w:t>
            </w:r>
          </w:p>
        </w:tc>
      </w:tr>
      <w:tr w:rsidR="00314FAD" w:rsidRPr="00AC4B14" w:rsidTr="00AC4B14">
        <w:trPr>
          <w:trHeight w:val="170"/>
        </w:trPr>
        <w:tc>
          <w:tcPr>
            <w:tcW w:w="5000" w:type="pct"/>
            <w:gridSpan w:val="7"/>
            <w:tcBorders>
              <w:top w:val="nil"/>
              <w:left w:val="single" w:sz="8" w:space="0" w:color="auto"/>
              <w:bottom w:val="single" w:sz="8" w:space="0" w:color="auto"/>
              <w:right w:val="single" w:sz="8" w:space="0" w:color="auto"/>
            </w:tcBorders>
            <w:shd w:val="clear" w:color="auto" w:fill="C5E0B3"/>
            <w:noWrap/>
            <w:tcMar>
              <w:top w:w="0" w:type="dxa"/>
              <w:left w:w="70" w:type="dxa"/>
              <w:bottom w:w="0" w:type="dxa"/>
              <w:right w:w="70" w:type="dxa"/>
            </w:tcMar>
            <w:vAlign w:val="bottom"/>
          </w:tcPr>
          <w:p w:rsidR="00314FAD" w:rsidRPr="00AC4B14" w:rsidRDefault="00314FAD" w:rsidP="00AC4B14">
            <w:pPr>
              <w:spacing w:before="0" w:after="0"/>
              <w:rPr>
                <w:rFonts w:ascii="Calibri" w:hAnsi="Calibri"/>
                <w:b/>
                <w:sz w:val="24"/>
              </w:rPr>
            </w:pPr>
            <w:r w:rsidRPr="00AC4B14">
              <w:rPr>
                <w:rFonts w:ascii="Calibri" w:hAnsi="Calibri"/>
                <w:b/>
                <w:sz w:val="24"/>
              </w:rPr>
              <w:t>OBREMENITVE URE -OVE 2012-2015</w:t>
            </w:r>
          </w:p>
        </w:tc>
      </w:tr>
      <w:tr w:rsidR="00314FAD" w:rsidRPr="00AC4B14" w:rsidTr="00AC4B14">
        <w:trPr>
          <w:trHeight w:val="170"/>
        </w:trPr>
        <w:tc>
          <w:tcPr>
            <w:tcW w:w="1982"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rsidR="00314FAD" w:rsidRDefault="00314FAD" w:rsidP="00AC4B14">
            <w:pPr>
              <w:spacing w:before="0" w:after="0"/>
              <w:rPr>
                <w:rFonts w:ascii="Calibri" w:hAnsi="Calibri"/>
                <w:szCs w:val="20"/>
              </w:rPr>
            </w:pPr>
            <w:r>
              <w:rPr>
                <w:rFonts w:ascii="Calibri" w:hAnsi="Calibri"/>
                <w:szCs w:val="20"/>
              </w:rPr>
              <w:t xml:space="preserve">Obremenitve OVE URE </w:t>
            </w:r>
            <w:r w:rsidRPr="00AC4B14">
              <w:rPr>
                <w:rFonts w:ascii="Calibri" w:hAnsi="Calibri"/>
                <w:color w:val="FF0000"/>
                <w:szCs w:val="20"/>
              </w:rPr>
              <w:t>2012 v €</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4.094.356</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2.160.367</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21.333.894</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994.070</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4.705.854</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33.288.541</w:t>
            </w:r>
          </w:p>
        </w:tc>
      </w:tr>
      <w:tr w:rsidR="00314FAD" w:rsidRPr="00AC4B14" w:rsidTr="00AC4B14">
        <w:trPr>
          <w:trHeight w:val="170"/>
        </w:trPr>
        <w:tc>
          <w:tcPr>
            <w:tcW w:w="1982"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rsidR="00314FAD" w:rsidRDefault="00314FAD" w:rsidP="00AC4B14">
            <w:pPr>
              <w:spacing w:before="0" w:after="0"/>
              <w:rPr>
                <w:rFonts w:ascii="Calibri" w:hAnsi="Calibri"/>
                <w:szCs w:val="20"/>
              </w:rPr>
            </w:pPr>
            <w:r>
              <w:rPr>
                <w:rFonts w:ascii="Calibri" w:hAnsi="Calibri"/>
                <w:szCs w:val="20"/>
              </w:rPr>
              <w:t xml:space="preserve">Obremenitve OVE URE </w:t>
            </w:r>
            <w:r w:rsidRPr="00AC4B14">
              <w:rPr>
                <w:rFonts w:ascii="Calibri" w:hAnsi="Calibri"/>
                <w:color w:val="FF0000"/>
                <w:szCs w:val="20"/>
              </w:rPr>
              <w:t>2013 v €</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4.838.834</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2.230.567</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28.243.801</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1.209.883</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5.190.401</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41.713.486</w:t>
            </w:r>
          </w:p>
        </w:tc>
      </w:tr>
      <w:tr w:rsidR="00314FAD" w:rsidRPr="00AC4B14" w:rsidTr="00AC4B14">
        <w:trPr>
          <w:trHeight w:val="170"/>
        </w:trPr>
        <w:tc>
          <w:tcPr>
            <w:tcW w:w="19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314FAD" w:rsidRDefault="00314FAD" w:rsidP="00AC4B14">
            <w:pPr>
              <w:spacing w:before="0" w:after="0"/>
              <w:rPr>
                <w:rFonts w:ascii="Calibri" w:hAnsi="Calibri"/>
                <w:szCs w:val="20"/>
              </w:rPr>
            </w:pPr>
            <w:r>
              <w:rPr>
                <w:rFonts w:ascii="Calibri" w:hAnsi="Calibri"/>
                <w:szCs w:val="20"/>
              </w:rPr>
              <w:t xml:space="preserve">Obremenitve OVE URE </w:t>
            </w:r>
            <w:r w:rsidRPr="00AC4B14">
              <w:rPr>
                <w:rFonts w:ascii="Calibri" w:hAnsi="Calibri"/>
                <w:color w:val="FF0000"/>
                <w:szCs w:val="20"/>
              </w:rPr>
              <w:t>2014 v €</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4.838.834</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2.230.567</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28.243.801</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1.209.883</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5.190.401</w:t>
            </w:r>
          </w:p>
        </w:tc>
        <w:tc>
          <w:tcPr>
            <w:tcW w:w="50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41.713.486</w:t>
            </w:r>
          </w:p>
        </w:tc>
      </w:tr>
      <w:tr w:rsidR="00314FAD" w:rsidRPr="00AC4B14" w:rsidTr="00AC4B14">
        <w:trPr>
          <w:trHeight w:val="170"/>
        </w:trPr>
        <w:tc>
          <w:tcPr>
            <w:tcW w:w="1982" w:type="pct"/>
            <w:tcBorders>
              <w:top w:val="nil"/>
              <w:left w:val="single" w:sz="8" w:space="0" w:color="auto"/>
              <w:bottom w:val="single" w:sz="8" w:space="0" w:color="auto"/>
              <w:right w:val="single" w:sz="8" w:space="0" w:color="auto"/>
            </w:tcBorders>
            <w:shd w:val="clear" w:color="auto" w:fill="E6B8B7"/>
            <w:noWrap/>
            <w:tcMar>
              <w:top w:w="0" w:type="dxa"/>
              <w:left w:w="70" w:type="dxa"/>
              <w:bottom w:w="0" w:type="dxa"/>
              <w:right w:w="70" w:type="dxa"/>
            </w:tcMar>
            <w:vAlign w:val="bottom"/>
          </w:tcPr>
          <w:p w:rsidR="00314FAD" w:rsidRPr="00D15B24" w:rsidRDefault="00314FAD" w:rsidP="00AC4B14">
            <w:pPr>
              <w:spacing w:before="0" w:after="0"/>
              <w:rPr>
                <w:rFonts w:ascii="Calibri" w:hAnsi="Calibri"/>
                <w:szCs w:val="20"/>
                <w:lang w:val="pl-PL"/>
              </w:rPr>
            </w:pPr>
            <w:r w:rsidRPr="00D15B24">
              <w:rPr>
                <w:rFonts w:ascii="Calibri" w:hAnsi="Calibri"/>
                <w:szCs w:val="20"/>
                <w:lang w:val="pl-PL"/>
              </w:rPr>
              <w:t>DODATNE OBREMENITVE OVE URE 2015 -70% olajšava CO2 v €</w:t>
            </w:r>
          </w:p>
        </w:tc>
        <w:tc>
          <w:tcPr>
            <w:tcW w:w="503" w:type="pct"/>
            <w:tcBorders>
              <w:top w:val="nil"/>
              <w:left w:val="nil"/>
              <w:bottom w:val="single" w:sz="8" w:space="0" w:color="auto"/>
              <w:right w:val="single" w:sz="8" w:space="0" w:color="auto"/>
            </w:tcBorders>
            <w:shd w:val="clear" w:color="auto" w:fill="E6B8B7"/>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382.673</w:t>
            </w:r>
          </w:p>
        </w:tc>
        <w:tc>
          <w:tcPr>
            <w:tcW w:w="503" w:type="pct"/>
            <w:tcBorders>
              <w:top w:val="nil"/>
              <w:left w:val="nil"/>
              <w:bottom w:val="single" w:sz="8" w:space="0" w:color="auto"/>
              <w:right w:val="single" w:sz="8" w:space="0" w:color="auto"/>
            </w:tcBorders>
            <w:shd w:val="clear" w:color="auto" w:fill="E6B8B7"/>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880.540</w:t>
            </w:r>
          </w:p>
        </w:tc>
        <w:tc>
          <w:tcPr>
            <w:tcW w:w="503" w:type="pct"/>
            <w:tcBorders>
              <w:top w:val="nil"/>
              <w:left w:val="nil"/>
              <w:bottom w:val="single" w:sz="8" w:space="0" w:color="auto"/>
              <w:right w:val="single" w:sz="8" w:space="0" w:color="auto"/>
            </w:tcBorders>
            <w:shd w:val="clear" w:color="auto" w:fill="E6B8B7"/>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1.977.094</w:t>
            </w:r>
          </w:p>
        </w:tc>
        <w:tc>
          <w:tcPr>
            <w:tcW w:w="503" w:type="pct"/>
            <w:tcBorders>
              <w:top w:val="nil"/>
              <w:left w:val="nil"/>
              <w:bottom w:val="single" w:sz="8" w:space="0" w:color="auto"/>
              <w:right w:val="single" w:sz="8" w:space="0" w:color="auto"/>
            </w:tcBorders>
            <w:shd w:val="clear" w:color="auto" w:fill="E6B8B7"/>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210.041</w:t>
            </w:r>
          </w:p>
        </w:tc>
        <w:tc>
          <w:tcPr>
            <w:tcW w:w="503" w:type="pct"/>
            <w:tcBorders>
              <w:top w:val="nil"/>
              <w:left w:val="nil"/>
              <w:bottom w:val="single" w:sz="8" w:space="0" w:color="auto"/>
              <w:right w:val="single" w:sz="8" w:space="0" w:color="auto"/>
            </w:tcBorders>
            <w:shd w:val="clear" w:color="auto" w:fill="E6B8B7"/>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1.972.869</w:t>
            </w:r>
          </w:p>
        </w:tc>
        <w:tc>
          <w:tcPr>
            <w:tcW w:w="503" w:type="pct"/>
            <w:tcBorders>
              <w:top w:val="nil"/>
              <w:left w:val="nil"/>
              <w:bottom w:val="single" w:sz="8" w:space="0" w:color="auto"/>
              <w:right w:val="single" w:sz="8" w:space="0" w:color="auto"/>
            </w:tcBorders>
            <w:shd w:val="clear" w:color="auto" w:fill="E6B8B7"/>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5.423.217</w:t>
            </w:r>
          </w:p>
        </w:tc>
      </w:tr>
      <w:tr w:rsidR="00314FAD" w:rsidRPr="00AC4B14" w:rsidTr="00AC4B14">
        <w:trPr>
          <w:trHeight w:val="170"/>
        </w:trPr>
        <w:tc>
          <w:tcPr>
            <w:tcW w:w="1982" w:type="pct"/>
            <w:tcBorders>
              <w:top w:val="nil"/>
              <w:left w:val="single" w:sz="8" w:space="0" w:color="auto"/>
              <w:bottom w:val="single" w:sz="8" w:space="0" w:color="auto"/>
              <w:right w:val="single" w:sz="8" w:space="0" w:color="auto"/>
            </w:tcBorders>
            <w:shd w:val="clear" w:color="auto" w:fill="E6B8B7"/>
            <w:noWrap/>
            <w:tcMar>
              <w:top w:w="0" w:type="dxa"/>
              <w:left w:w="70" w:type="dxa"/>
              <w:bottom w:w="0" w:type="dxa"/>
              <w:right w:w="70" w:type="dxa"/>
            </w:tcMar>
            <w:vAlign w:val="bottom"/>
          </w:tcPr>
          <w:p w:rsidR="00314FAD" w:rsidRDefault="00314FAD" w:rsidP="00AC4B14">
            <w:pPr>
              <w:spacing w:before="0" w:after="0"/>
              <w:rPr>
                <w:rFonts w:ascii="Calibri" w:hAnsi="Calibri"/>
                <w:szCs w:val="20"/>
              </w:rPr>
            </w:pPr>
            <w:r>
              <w:rPr>
                <w:rFonts w:ascii="Calibri" w:hAnsi="Calibri"/>
                <w:szCs w:val="20"/>
              </w:rPr>
              <w:t>DOODATNE OBREMENITVE OVE URE 2015 -0% olajšava CO2 v €</w:t>
            </w:r>
          </w:p>
        </w:tc>
        <w:tc>
          <w:tcPr>
            <w:tcW w:w="503" w:type="pct"/>
            <w:tcBorders>
              <w:top w:val="nil"/>
              <w:left w:val="nil"/>
              <w:bottom w:val="single" w:sz="8" w:space="0" w:color="auto"/>
              <w:right w:val="single" w:sz="8" w:space="0" w:color="auto"/>
            </w:tcBorders>
            <w:shd w:val="clear" w:color="auto" w:fill="E6B8B7"/>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1.057.448</w:t>
            </w:r>
          </w:p>
        </w:tc>
        <w:tc>
          <w:tcPr>
            <w:tcW w:w="503" w:type="pct"/>
            <w:tcBorders>
              <w:top w:val="nil"/>
              <w:left w:val="nil"/>
              <w:bottom w:val="single" w:sz="8" w:space="0" w:color="auto"/>
              <w:right w:val="single" w:sz="8" w:space="0" w:color="auto"/>
            </w:tcBorders>
            <w:shd w:val="clear" w:color="auto" w:fill="E6B8B7"/>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2.749.164</w:t>
            </w:r>
          </w:p>
        </w:tc>
        <w:tc>
          <w:tcPr>
            <w:tcW w:w="503" w:type="pct"/>
            <w:tcBorders>
              <w:top w:val="nil"/>
              <w:left w:val="nil"/>
              <w:bottom w:val="single" w:sz="8" w:space="0" w:color="auto"/>
              <w:right w:val="single" w:sz="8" w:space="0" w:color="auto"/>
            </w:tcBorders>
            <w:shd w:val="clear" w:color="auto" w:fill="E6B8B7"/>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5.330.067</w:t>
            </w:r>
          </w:p>
        </w:tc>
        <w:tc>
          <w:tcPr>
            <w:tcW w:w="503" w:type="pct"/>
            <w:tcBorders>
              <w:top w:val="nil"/>
              <w:left w:val="nil"/>
              <w:bottom w:val="single" w:sz="8" w:space="0" w:color="auto"/>
              <w:right w:val="single" w:sz="8" w:space="0" w:color="auto"/>
            </w:tcBorders>
            <w:shd w:val="clear" w:color="auto" w:fill="E6B8B7"/>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684.290</w:t>
            </w:r>
          </w:p>
        </w:tc>
        <w:tc>
          <w:tcPr>
            <w:tcW w:w="503" w:type="pct"/>
            <w:tcBorders>
              <w:top w:val="nil"/>
              <w:left w:val="nil"/>
              <w:bottom w:val="single" w:sz="8" w:space="0" w:color="auto"/>
              <w:right w:val="single" w:sz="8" w:space="0" w:color="auto"/>
            </w:tcBorders>
            <w:shd w:val="clear" w:color="auto" w:fill="E6B8B7"/>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5.875.913</w:t>
            </w:r>
          </w:p>
        </w:tc>
        <w:tc>
          <w:tcPr>
            <w:tcW w:w="503" w:type="pct"/>
            <w:tcBorders>
              <w:top w:val="nil"/>
              <w:left w:val="nil"/>
              <w:bottom w:val="single" w:sz="8" w:space="0" w:color="auto"/>
              <w:right w:val="single" w:sz="8" w:space="0" w:color="auto"/>
            </w:tcBorders>
            <w:shd w:val="clear" w:color="auto" w:fill="E6B8B7"/>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15.696.881</w:t>
            </w:r>
          </w:p>
        </w:tc>
      </w:tr>
    </w:tbl>
    <w:p w:rsidR="00314FAD" w:rsidRPr="00151FA0" w:rsidRDefault="00314FAD">
      <w:pPr>
        <w:rPr>
          <w:sz w:val="18"/>
          <w:szCs w:val="18"/>
        </w:rPr>
      </w:pPr>
      <w:r w:rsidRPr="00151FA0">
        <w:rPr>
          <w:sz w:val="18"/>
          <w:szCs w:val="18"/>
        </w:rPr>
        <w:t>VIR: SKEP GZS, baza AJPES</w:t>
      </w:r>
    </w:p>
    <w:p w:rsidR="00314FAD" w:rsidRDefault="00314FAD"/>
    <w:p w:rsidR="00314FAD" w:rsidRDefault="00314FAD"/>
    <w:p w:rsidR="00314FAD" w:rsidRDefault="00314FAD"/>
    <w:p w:rsidR="00314FAD" w:rsidRDefault="00314FAD"/>
    <w:p w:rsidR="00314FAD" w:rsidRDefault="00314FAD"/>
    <w:tbl>
      <w:tblPr>
        <w:tblW w:w="5005" w:type="pct"/>
        <w:tblInd w:w="-15" w:type="dxa"/>
        <w:tblCellMar>
          <w:left w:w="0" w:type="dxa"/>
          <w:right w:w="0" w:type="dxa"/>
        </w:tblCellMar>
        <w:tblLook w:val="00A0" w:firstRow="1" w:lastRow="0" w:firstColumn="1" w:lastColumn="0" w:noHBand="0" w:noVBand="0"/>
      </w:tblPr>
      <w:tblGrid>
        <w:gridCol w:w="5769"/>
        <w:gridCol w:w="1323"/>
        <w:gridCol w:w="1434"/>
        <w:gridCol w:w="1240"/>
        <w:gridCol w:w="1609"/>
        <w:gridCol w:w="1285"/>
        <w:gridCol w:w="1213"/>
      </w:tblGrid>
      <w:tr w:rsidR="00314FAD" w:rsidTr="00151FA0">
        <w:trPr>
          <w:trHeight w:val="170"/>
        </w:trPr>
        <w:tc>
          <w:tcPr>
            <w:tcW w:w="2079" w:type="pct"/>
            <w:tcBorders>
              <w:top w:val="nil"/>
              <w:left w:val="single" w:sz="8" w:space="0" w:color="auto"/>
              <w:bottom w:val="single" w:sz="8" w:space="0" w:color="auto"/>
              <w:right w:val="single" w:sz="8" w:space="0" w:color="auto"/>
            </w:tcBorders>
            <w:shd w:val="clear" w:color="auto" w:fill="9BBB59"/>
            <w:noWrap/>
            <w:tcMar>
              <w:top w:w="0" w:type="dxa"/>
              <w:left w:w="70" w:type="dxa"/>
              <w:bottom w:w="0" w:type="dxa"/>
              <w:right w:w="70" w:type="dxa"/>
            </w:tcMar>
            <w:vAlign w:val="bottom"/>
          </w:tcPr>
          <w:p w:rsidR="00314FAD" w:rsidRPr="00151FA0" w:rsidRDefault="00314FAD" w:rsidP="00151FA0">
            <w:pPr>
              <w:rPr>
                <w:rFonts w:ascii="Calibri" w:hAnsi="Calibri"/>
                <w:b/>
                <w:bCs/>
                <w:sz w:val="28"/>
                <w:szCs w:val="28"/>
              </w:rPr>
            </w:pPr>
            <w:r w:rsidRPr="00151FA0">
              <w:rPr>
                <w:rFonts w:ascii="Calibri" w:hAnsi="Calibri"/>
                <w:b/>
                <w:bCs/>
                <w:sz w:val="28"/>
                <w:szCs w:val="28"/>
              </w:rPr>
              <w:t>UČINKI dodatnih obremen</w:t>
            </w:r>
            <w:r w:rsidR="00E9623C">
              <w:rPr>
                <w:rFonts w:ascii="Calibri" w:hAnsi="Calibri"/>
                <w:b/>
                <w:bCs/>
                <w:sz w:val="28"/>
                <w:szCs w:val="28"/>
              </w:rPr>
              <w:t>i</w:t>
            </w:r>
            <w:r w:rsidRPr="00151FA0">
              <w:rPr>
                <w:rFonts w:ascii="Calibri" w:hAnsi="Calibri"/>
                <w:b/>
                <w:bCs/>
                <w:sz w:val="28"/>
                <w:szCs w:val="28"/>
              </w:rPr>
              <w:t>tev 2015</w:t>
            </w:r>
          </w:p>
        </w:tc>
        <w:tc>
          <w:tcPr>
            <w:tcW w:w="477" w:type="pct"/>
            <w:tcBorders>
              <w:top w:val="nil"/>
              <w:left w:val="nil"/>
              <w:bottom w:val="single" w:sz="8" w:space="0" w:color="auto"/>
              <w:right w:val="single" w:sz="8" w:space="0" w:color="auto"/>
            </w:tcBorders>
            <w:shd w:val="clear" w:color="auto" w:fill="70AD47"/>
            <w:noWrap/>
            <w:tcMar>
              <w:top w:w="0" w:type="dxa"/>
              <w:left w:w="70" w:type="dxa"/>
              <w:bottom w:w="0" w:type="dxa"/>
              <w:right w:w="70" w:type="dxa"/>
            </w:tcMar>
            <w:vAlign w:val="bottom"/>
          </w:tcPr>
          <w:p w:rsidR="00314FAD" w:rsidRDefault="00314FAD" w:rsidP="00151FA0">
            <w:pPr>
              <w:spacing w:before="0" w:after="0"/>
              <w:jc w:val="center"/>
              <w:rPr>
                <w:rFonts w:ascii="Calibri" w:hAnsi="Calibri"/>
                <w:b/>
                <w:sz w:val="24"/>
              </w:rPr>
            </w:pPr>
            <w:r w:rsidRPr="00AC4B14">
              <w:rPr>
                <w:rFonts w:ascii="Calibri" w:hAnsi="Calibri"/>
                <w:b/>
                <w:sz w:val="24"/>
              </w:rPr>
              <w:t xml:space="preserve">Proizv </w:t>
            </w:r>
          </w:p>
          <w:p w:rsidR="00314FAD" w:rsidRPr="00AC4B14" w:rsidRDefault="00314FAD" w:rsidP="00151FA0">
            <w:pPr>
              <w:spacing w:before="0" w:after="0"/>
              <w:jc w:val="center"/>
              <w:rPr>
                <w:rFonts w:ascii="Calibri" w:hAnsi="Calibri"/>
                <w:b/>
                <w:sz w:val="24"/>
              </w:rPr>
            </w:pPr>
            <w:r w:rsidRPr="00AC4B14">
              <w:rPr>
                <w:rFonts w:ascii="Calibri" w:hAnsi="Calibri"/>
                <w:b/>
                <w:sz w:val="24"/>
              </w:rPr>
              <w:t>kem. izd.</w:t>
            </w:r>
          </w:p>
        </w:tc>
        <w:tc>
          <w:tcPr>
            <w:tcW w:w="517" w:type="pct"/>
            <w:tcBorders>
              <w:top w:val="nil"/>
              <w:left w:val="nil"/>
              <w:bottom w:val="single" w:sz="8" w:space="0" w:color="auto"/>
              <w:right w:val="single" w:sz="8" w:space="0" w:color="auto"/>
            </w:tcBorders>
            <w:shd w:val="clear" w:color="auto" w:fill="70AD47"/>
            <w:noWrap/>
            <w:tcMar>
              <w:top w:w="0" w:type="dxa"/>
              <w:left w:w="70" w:type="dxa"/>
              <w:bottom w:w="0" w:type="dxa"/>
              <w:right w:w="70" w:type="dxa"/>
            </w:tcMar>
            <w:vAlign w:val="bottom"/>
          </w:tcPr>
          <w:p w:rsidR="00314FAD" w:rsidRDefault="00314FAD" w:rsidP="00151FA0">
            <w:pPr>
              <w:spacing w:before="0" w:after="0"/>
              <w:jc w:val="center"/>
              <w:rPr>
                <w:rFonts w:ascii="Calibri" w:hAnsi="Calibri"/>
                <w:b/>
                <w:sz w:val="24"/>
              </w:rPr>
            </w:pPr>
            <w:r w:rsidRPr="00AC4B14">
              <w:rPr>
                <w:rFonts w:ascii="Calibri" w:hAnsi="Calibri"/>
                <w:b/>
                <w:sz w:val="24"/>
              </w:rPr>
              <w:t>Proizv</w:t>
            </w:r>
          </w:p>
          <w:p w:rsidR="00314FAD" w:rsidRPr="00AC4B14" w:rsidRDefault="00314FAD" w:rsidP="00151FA0">
            <w:pPr>
              <w:spacing w:before="0" w:after="0"/>
              <w:jc w:val="center"/>
              <w:rPr>
                <w:rFonts w:ascii="Calibri" w:hAnsi="Calibri"/>
                <w:b/>
                <w:sz w:val="24"/>
              </w:rPr>
            </w:pPr>
            <w:r w:rsidRPr="00AC4B14">
              <w:rPr>
                <w:rFonts w:ascii="Calibri" w:hAnsi="Calibri"/>
                <w:b/>
                <w:sz w:val="24"/>
              </w:rPr>
              <w:t xml:space="preserve"> gradb mat</w:t>
            </w:r>
          </w:p>
        </w:tc>
        <w:tc>
          <w:tcPr>
            <w:tcW w:w="447" w:type="pct"/>
            <w:tcBorders>
              <w:top w:val="nil"/>
              <w:left w:val="nil"/>
              <w:bottom w:val="single" w:sz="8" w:space="0" w:color="auto"/>
              <w:right w:val="single" w:sz="8" w:space="0" w:color="auto"/>
            </w:tcBorders>
            <w:shd w:val="clear" w:color="auto" w:fill="70AD47"/>
            <w:noWrap/>
            <w:tcMar>
              <w:top w:w="0" w:type="dxa"/>
              <w:left w:w="70" w:type="dxa"/>
              <w:bottom w:w="0" w:type="dxa"/>
              <w:right w:w="70" w:type="dxa"/>
            </w:tcMar>
            <w:vAlign w:val="bottom"/>
          </w:tcPr>
          <w:p w:rsidR="00314FAD" w:rsidRDefault="00314FAD" w:rsidP="00151FA0">
            <w:pPr>
              <w:spacing w:before="0" w:after="0"/>
              <w:jc w:val="center"/>
              <w:rPr>
                <w:rFonts w:ascii="Calibri" w:hAnsi="Calibri"/>
                <w:b/>
                <w:sz w:val="24"/>
              </w:rPr>
            </w:pPr>
            <w:r w:rsidRPr="00AC4B14">
              <w:rPr>
                <w:rFonts w:ascii="Calibri" w:hAnsi="Calibri"/>
                <w:b/>
                <w:sz w:val="24"/>
              </w:rPr>
              <w:t xml:space="preserve">Proizv </w:t>
            </w:r>
          </w:p>
          <w:p w:rsidR="00314FAD" w:rsidRPr="00AC4B14" w:rsidRDefault="00314FAD" w:rsidP="00151FA0">
            <w:pPr>
              <w:spacing w:before="0" w:after="0"/>
              <w:jc w:val="center"/>
              <w:rPr>
                <w:rFonts w:ascii="Calibri" w:hAnsi="Calibri"/>
                <w:b/>
                <w:sz w:val="24"/>
              </w:rPr>
            </w:pPr>
            <w:r w:rsidRPr="00AC4B14">
              <w:rPr>
                <w:rFonts w:ascii="Calibri" w:hAnsi="Calibri"/>
                <w:b/>
                <w:sz w:val="24"/>
              </w:rPr>
              <w:t>kovin</w:t>
            </w:r>
          </w:p>
        </w:tc>
        <w:tc>
          <w:tcPr>
            <w:tcW w:w="580" w:type="pct"/>
            <w:tcBorders>
              <w:top w:val="nil"/>
              <w:left w:val="nil"/>
              <w:bottom w:val="single" w:sz="8" w:space="0" w:color="auto"/>
              <w:right w:val="single" w:sz="8" w:space="0" w:color="auto"/>
            </w:tcBorders>
            <w:shd w:val="clear" w:color="auto" w:fill="70AD47"/>
            <w:noWrap/>
            <w:tcMar>
              <w:top w:w="0" w:type="dxa"/>
              <w:left w:w="70" w:type="dxa"/>
              <w:bottom w:w="0" w:type="dxa"/>
              <w:right w:w="70" w:type="dxa"/>
            </w:tcMar>
            <w:vAlign w:val="bottom"/>
          </w:tcPr>
          <w:p w:rsidR="00314FAD" w:rsidRPr="00AC4B14" w:rsidRDefault="00314FAD" w:rsidP="00151FA0">
            <w:pPr>
              <w:spacing w:before="0" w:after="0"/>
              <w:jc w:val="center"/>
              <w:rPr>
                <w:rFonts w:ascii="Calibri" w:hAnsi="Calibri"/>
                <w:b/>
                <w:sz w:val="24"/>
              </w:rPr>
            </w:pPr>
            <w:r w:rsidRPr="00AC4B14">
              <w:rPr>
                <w:rFonts w:ascii="Calibri" w:hAnsi="Calibri"/>
                <w:b/>
                <w:sz w:val="24"/>
              </w:rPr>
              <w:t>Steklarne</w:t>
            </w:r>
          </w:p>
        </w:tc>
        <w:tc>
          <w:tcPr>
            <w:tcW w:w="463" w:type="pct"/>
            <w:tcBorders>
              <w:top w:val="nil"/>
              <w:left w:val="nil"/>
              <w:bottom w:val="single" w:sz="8" w:space="0" w:color="auto"/>
              <w:right w:val="single" w:sz="8" w:space="0" w:color="auto"/>
            </w:tcBorders>
            <w:shd w:val="clear" w:color="auto" w:fill="70AD47"/>
            <w:noWrap/>
            <w:tcMar>
              <w:top w:w="0" w:type="dxa"/>
              <w:left w:w="70" w:type="dxa"/>
              <w:bottom w:w="0" w:type="dxa"/>
              <w:right w:w="70" w:type="dxa"/>
            </w:tcMar>
            <w:vAlign w:val="bottom"/>
          </w:tcPr>
          <w:p w:rsidR="00314FAD" w:rsidRPr="00AC4B14" w:rsidRDefault="00314FAD" w:rsidP="00151FA0">
            <w:pPr>
              <w:spacing w:before="0" w:after="0"/>
              <w:jc w:val="center"/>
              <w:rPr>
                <w:rFonts w:ascii="Calibri" w:hAnsi="Calibri"/>
                <w:b/>
                <w:sz w:val="24"/>
              </w:rPr>
            </w:pPr>
            <w:r w:rsidRPr="00AC4B14">
              <w:rPr>
                <w:rFonts w:ascii="Calibri" w:hAnsi="Calibri"/>
                <w:b/>
                <w:sz w:val="24"/>
              </w:rPr>
              <w:t>Papirnice</w:t>
            </w:r>
          </w:p>
        </w:tc>
        <w:tc>
          <w:tcPr>
            <w:tcW w:w="437" w:type="pct"/>
            <w:tcBorders>
              <w:top w:val="nil"/>
              <w:left w:val="nil"/>
              <w:bottom w:val="single" w:sz="8" w:space="0" w:color="auto"/>
              <w:right w:val="single" w:sz="8" w:space="0" w:color="auto"/>
            </w:tcBorders>
            <w:shd w:val="clear" w:color="auto" w:fill="70AD47"/>
            <w:noWrap/>
            <w:tcMar>
              <w:top w:w="0" w:type="dxa"/>
              <w:left w:w="70" w:type="dxa"/>
              <w:bottom w:w="0" w:type="dxa"/>
              <w:right w:w="70" w:type="dxa"/>
            </w:tcMar>
            <w:vAlign w:val="bottom"/>
          </w:tcPr>
          <w:p w:rsidR="00314FAD" w:rsidRPr="00AC4B14" w:rsidRDefault="00314FAD" w:rsidP="00151FA0">
            <w:pPr>
              <w:spacing w:before="0" w:after="0"/>
              <w:jc w:val="center"/>
              <w:rPr>
                <w:rFonts w:ascii="Calibri" w:hAnsi="Calibri"/>
                <w:b/>
                <w:sz w:val="24"/>
              </w:rPr>
            </w:pPr>
            <w:r w:rsidRPr="00AC4B14">
              <w:rPr>
                <w:rFonts w:ascii="Calibri" w:hAnsi="Calibri"/>
                <w:b/>
                <w:sz w:val="24"/>
              </w:rPr>
              <w:t>SKUPAJ</w:t>
            </w:r>
          </w:p>
        </w:tc>
      </w:tr>
      <w:tr w:rsidR="00314FAD" w:rsidTr="00151FA0">
        <w:trPr>
          <w:trHeight w:val="170"/>
        </w:trPr>
        <w:tc>
          <w:tcPr>
            <w:tcW w:w="2079"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314FAD" w:rsidRPr="00D15B24" w:rsidRDefault="00314FAD" w:rsidP="00AC4B14">
            <w:pPr>
              <w:spacing w:before="0" w:after="0"/>
              <w:rPr>
                <w:rFonts w:ascii="Calibri" w:hAnsi="Calibri"/>
                <w:szCs w:val="20"/>
                <w:lang w:val="pt-BR"/>
              </w:rPr>
            </w:pPr>
            <w:r w:rsidRPr="00D15B24">
              <w:rPr>
                <w:rFonts w:ascii="Calibri" w:hAnsi="Calibri"/>
                <w:szCs w:val="20"/>
                <w:lang w:val="pt-BR"/>
              </w:rPr>
              <w:t>DOD obremenitve 2015 70% +URE OVE 2013/neto izid</w:t>
            </w:r>
          </w:p>
        </w:tc>
        <w:tc>
          <w:tcPr>
            <w:tcW w:w="477"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72,75%</w:t>
            </w:r>
          </w:p>
        </w:tc>
        <w:tc>
          <w:tcPr>
            <w:tcW w:w="517"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-356,79%</w:t>
            </w:r>
          </w:p>
        </w:tc>
        <w:tc>
          <w:tcPr>
            <w:tcW w:w="447"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-132,52%</w:t>
            </w:r>
          </w:p>
        </w:tc>
        <w:tc>
          <w:tcPr>
            <w:tcW w:w="580"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-17,83%</w:t>
            </w:r>
          </w:p>
        </w:tc>
        <w:tc>
          <w:tcPr>
            <w:tcW w:w="46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126,66%</w:t>
            </w:r>
          </w:p>
        </w:tc>
        <w:tc>
          <w:tcPr>
            <w:tcW w:w="437"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-250,64%</w:t>
            </w:r>
          </w:p>
        </w:tc>
      </w:tr>
      <w:tr w:rsidR="00314FAD" w:rsidTr="00151FA0">
        <w:trPr>
          <w:trHeight w:val="170"/>
        </w:trPr>
        <w:tc>
          <w:tcPr>
            <w:tcW w:w="2079"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314FAD" w:rsidRDefault="00314FAD" w:rsidP="00AC4B14">
            <w:pPr>
              <w:spacing w:before="0" w:after="0"/>
              <w:rPr>
                <w:rFonts w:ascii="Calibri" w:hAnsi="Calibri"/>
                <w:szCs w:val="20"/>
              </w:rPr>
            </w:pPr>
            <w:r>
              <w:rPr>
                <w:rFonts w:ascii="Calibri" w:hAnsi="Calibri"/>
                <w:szCs w:val="20"/>
              </w:rPr>
              <w:t>Obremenitve URE OVE 2013 v DM</w:t>
            </w:r>
          </w:p>
        </w:tc>
        <w:tc>
          <w:tcPr>
            <w:tcW w:w="477"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182</w:t>
            </w:r>
          </w:p>
        </w:tc>
        <w:tc>
          <w:tcPr>
            <w:tcW w:w="517"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86</w:t>
            </w:r>
          </w:p>
        </w:tc>
        <w:tc>
          <w:tcPr>
            <w:tcW w:w="447"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1.025</w:t>
            </w:r>
          </w:p>
        </w:tc>
        <w:tc>
          <w:tcPr>
            <w:tcW w:w="580"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60</w:t>
            </w:r>
          </w:p>
        </w:tc>
        <w:tc>
          <w:tcPr>
            <w:tcW w:w="46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207</w:t>
            </w:r>
          </w:p>
        </w:tc>
        <w:tc>
          <w:tcPr>
            <w:tcW w:w="437"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1.626</w:t>
            </w:r>
          </w:p>
        </w:tc>
      </w:tr>
      <w:tr w:rsidR="00314FAD" w:rsidTr="00151FA0">
        <w:trPr>
          <w:trHeight w:val="170"/>
        </w:trPr>
        <w:tc>
          <w:tcPr>
            <w:tcW w:w="2079" w:type="pct"/>
            <w:tcBorders>
              <w:top w:val="nil"/>
              <w:left w:val="single" w:sz="8" w:space="0" w:color="auto"/>
              <w:bottom w:val="single" w:sz="8" w:space="0" w:color="auto"/>
              <w:right w:val="single" w:sz="8" w:space="0" w:color="auto"/>
            </w:tcBorders>
            <w:shd w:val="clear" w:color="auto" w:fill="8DB4E2"/>
            <w:noWrap/>
            <w:tcMar>
              <w:top w:w="0" w:type="dxa"/>
              <w:left w:w="70" w:type="dxa"/>
              <w:bottom w:w="0" w:type="dxa"/>
              <w:right w:w="70" w:type="dxa"/>
            </w:tcMar>
            <w:vAlign w:val="bottom"/>
          </w:tcPr>
          <w:p w:rsidR="00314FAD" w:rsidRDefault="00314FAD" w:rsidP="00AC4B14">
            <w:pPr>
              <w:spacing w:before="0" w:after="0"/>
              <w:rPr>
                <w:rFonts w:ascii="Calibri" w:hAnsi="Calibri"/>
                <w:szCs w:val="20"/>
              </w:rPr>
            </w:pPr>
            <w:r>
              <w:rPr>
                <w:rFonts w:ascii="Calibri" w:hAnsi="Calibri"/>
                <w:szCs w:val="20"/>
              </w:rPr>
              <w:t>Nove obremenitve 2015 70% olajšave v DM</w:t>
            </w:r>
          </w:p>
        </w:tc>
        <w:tc>
          <w:tcPr>
            <w:tcW w:w="477" w:type="pct"/>
            <w:tcBorders>
              <w:top w:val="nil"/>
              <w:left w:val="nil"/>
              <w:bottom w:val="single" w:sz="8" w:space="0" w:color="auto"/>
              <w:right w:val="single" w:sz="8" w:space="0" w:color="auto"/>
            </w:tcBorders>
            <w:shd w:val="clear" w:color="auto" w:fill="8DB4E2"/>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14</w:t>
            </w:r>
          </w:p>
        </w:tc>
        <w:tc>
          <w:tcPr>
            <w:tcW w:w="517" w:type="pct"/>
            <w:tcBorders>
              <w:top w:val="nil"/>
              <w:left w:val="nil"/>
              <w:bottom w:val="single" w:sz="8" w:space="0" w:color="auto"/>
              <w:right w:val="single" w:sz="8" w:space="0" w:color="auto"/>
            </w:tcBorders>
            <w:shd w:val="clear" w:color="auto" w:fill="8DB4E2"/>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34</w:t>
            </w:r>
          </w:p>
        </w:tc>
        <w:tc>
          <w:tcPr>
            <w:tcW w:w="447" w:type="pct"/>
            <w:tcBorders>
              <w:top w:val="nil"/>
              <w:left w:val="nil"/>
              <w:bottom w:val="single" w:sz="8" w:space="0" w:color="auto"/>
              <w:right w:val="single" w:sz="8" w:space="0" w:color="auto"/>
            </w:tcBorders>
            <w:shd w:val="clear" w:color="auto" w:fill="8DB4E2"/>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72</w:t>
            </w:r>
          </w:p>
        </w:tc>
        <w:tc>
          <w:tcPr>
            <w:tcW w:w="580" w:type="pct"/>
            <w:tcBorders>
              <w:top w:val="nil"/>
              <w:left w:val="nil"/>
              <w:bottom w:val="single" w:sz="8" w:space="0" w:color="auto"/>
              <w:right w:val="single" w:sz="8" w:space="0" w:color="auto"/>
            </w:tcBorders>
            <w:shd w:val="clear" w:color="auto" w:fill="8DB4E2"/>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10</w:t>
            </w:r>
          </w:p>
        </w:tc>
        <w:tc>
          <w:tcPr>
            <w:tcW w:w="463" w:type="pct"/>
            <w:tcBorders>
              <w:top w:val="nil"/>
              <w:left w:val="nil"/>
              <w:bottom w:val="single" w:sz="8" w:space="0" w:color="auto"/>
              <w:right w:val="single" w:sz="8" w:space="0" w:color="auto"/>
            </w:tcBorders>
            <w:shd w:val="clear" w:color="auto" w:fill="8DB4E2"/>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79</w:t>
            </w:r>
          </w:p>
        </w:tc>
        <w:tc>
          <w:tcPr>
            <w:tcW w:w="437" w:type="pct"/>
            <w:tcBorders>
              <w:top w:val="nil"/>
              <w:left w:val="nil"/>
              <w:bottom w:val="single" w:sz="8" w:space="0" w:color="auto"/>
              <w:right w:val="single" w:sz="8" w:space="0" w:color="auto"/>
            </w:tcBorders>
            <w:shd w:val="clear" w:color="auto" w:fill="8DB4E2"/>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209</w:t>
            </w:r>
          </w:p>
        </w:tc>
      </w:tr>
      <w:tr w:rsidR="00314FAD" w:rsidTr="00151FA0">
        <w:trPr>
          <w:trHeight w:val="170"/>
        </w:trPr>
        <w:tc>
          <w:tcPr>
            <w:tcW w:w="2079" w:type="pct"/>
            <w:tcBorders>
              <w:top w:val="nil"/>
              <w:left w:val="single" w:sz="8" w:space="0" w:color="auto"/>
              <w:bottom w:val="single" w:sz="8" w:space="0" w:color="auto"/>
              <w:right w:val="single" w:sz="8" w:space="0" w:color="auto"/>
            </w:tcBorders>
            <w:shd w:val="clear" w:color="auto" w:fill="8DB4E2"/>
            <w:noWrap/>
            <w:tcMar>
              <w:top w:w="0" w:type="dxa"/>
              <w:left w:w="70" w:type="dxa"/>
              <w:bottom w:w="0" w:type="dxa"/>
              <w:right w:w="70" w:type="dxa"/>
            </w:tcMar>
            <w:vAlign w:val="bottom"/>
          </w:tcPr>
          <w:p w:rsidR="00314FAD" w:rsidRDefault="00314FAD" w:rsidP="00AC4B14">
            <w:pPr>
              <w:spacing w:before="0" w:after="0"/>
              <w:rPr>
                <w:rFonts w:ascii="Calibri" w:hAnsi="Calibri"/>
                <w:szCs w:val="20"/>
              </w:rPr>
            </w:pPr>
            <w:r>
              <w:rPr>
                <w:rFonts w:ascii="Calibri" w:hAnsi="Calibri"/>
                <w:szCs w:val="20"/>
              </w:rPr>
              <w:t>Nove obremenitve 2015 0% OLAJŠAVA v DM</w:t>
            </w:r>
          </w:p>
        </w:tc>
        <w:tc>
          <w:tcPr>
            <w:tcW w:w="477" w:type="pct"/>
            <w:tcBorders>
              <w:top w:val="nil"/>
              <w:left w:val="nil"/>
              <w:bottom w:val="single" w:sz="8" w:space="0" w:color="auto"/>
              <w:right w:val="single" w:sz="8" w:space="0" w:color="auto"/>
            </w:tcBorders>
            <w:shd w:val="clear" w:color="auto" w:fill="8DB4E2"/>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40</w:t>
            </w:r>
          </w:p>
        </w:tc>
        <w:tc>
          <w:tcPr>
            <w:tcW w:w="517" w:type="pct"/>
            <w:tcBorders>
              <w:top w:val="nil"/>
              <w:left w:val="nil"/>
              <w:bottom w:val="single" w:sz="8" w:space="0" w:color="auto"/>
              <w:right w:val="single" w:sz="8" w:space="0" w:color="auto"/>
            </w:tcBorders>
            <w:shd w:val="clear" w:color="auto" w:fill="8DB4E2"/>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106</w:t>
            </w:r>
          </w:p>
        </w:tc>
        <w:tc>
          <w:tcPr>
            <w:tcW w:w="447" w:type="pct"/>
            <w:tcBorders>
              <w:top w:val="nil"/>
              <w:left w:val="nil"/>
              <w:bottom w:val="single" w:sz="8" w:space="0" w:color="auto"/>
              <w:right w:val="single" w:sz="8" w:space="0" w:color="auto"/>
            </w:tcBorders>
            <w:shd w:val="clear" w:color="auto" w:fill="8DB4E2"/>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193</w:t>
            </w:r>
          </w:p>
        </w:tc>
        <w:tc>
          <w:tcPr>
            <w:tcW w:w="580" w:type="pct"/>
            <w:tcBorders>
              <w:top w:val="nil"/>
              <w:left w:val="nil"/>
              <w:bottom w:val="single" w:sz="8" w:space="0" w:color="auto"/>
              <w:right w:val="single" w:sz="8" w:space="0" w:color="auto"/>
            </w:tcBorders>
            <w:shd w:val="clear" w:color="auto" w:fill="8DB4E2"/>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34</w:t>
            </w:r>
          </w:p>
        </w:tc>
        <w:tc>
          <w:tcPr>
            <w:tcW w:w="463" w:type="pct"/>
            <w:tcBorders>
              <w:top w:val="nil"/>
              <w:left w:val="nil"/>
              <w:bottom w:val="single" w:sz="8" w:space="0" w:color="auto"/>
              <w:right w:val="single" w:sz="8" w:space="0" w:color="auto"/>
            </w:tcBorders>
            <w:shd w:val="clear" w:color="auto" w:fill="8DB4E2"/>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235</w:t>
            </w:r>
          </w:p>
        </w:tc>
        <w:tc>
          <w:tcPr>
            <w:tcW w:w="437" w:type="pct"/>
            <w:tcBorders>
              <w:top w:val="nil"/>
              <w:left w:val="nil"/>
              <w:bottom w:val="single" w:sz="8" w:space="0" w:color="auto"/>
              <w:right w:val="single" w:sz="8" w:space="0" w:color="auto"/>
            </w:tcBorders>
            <w:shd w:val="clear" w:color="auto" w:fill="8DB4E2"/>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612</w:t>
            </w:r>
          </w:p>
        </w:tc>
      </w:tr>
      <w:tr w:rsidR="00314FAD" w:rsidTr="00151FA0">
        <w:trPr>
          <w:trHeight w:val="170"/>
        </w:trPr>
        <w:tc>
          <w:tcPr>
            <w:tcW w:w="2079"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314FAD" w:rsidRDefault="00314FAD" w:rsidP="00AC4B14">
            <w:pPr>
              <w:spacing w:before="0" w:after="0"/>
              <w:rPr>
                <w:rFonts w:ascii="Calibri" w:hAnsi="Calibri"/>
                <w:szCs w:val="20"/>
              </w:rPr>
            </w:pPr>
            <w:r>
              <w:rPr>
                <w:rFonts w:ascii="Calibri" w:hAnsi="Calibri"/>
                <w:szCs w:val="20"/>
              </w:rPr>
              <w:t>Čisti dob-izg 2013 MINUS nove obremenitve 2015 70% OLAJŠAVA v €</w:t>
            </w:r>
          </w:p>
        </w:tc>
        <w:tc>
          <w:tcPr>
            <w:tcW w:w="477"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6.794.633</w:t>
            </w:r>
          </w:p>
        </w:tc>
        <w:tc>
          <w:tcPr>
            <w:tcW w:w="517"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-1.752.506</w:t>
            </w:r>
          </w:p>
        </w:tc>
        <w:tc>
          <w:tcPr>
            <w:tcW w:w="447"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-24.781.619</w:t>
            </w:r>
          </w:p>
        </w:tc>
        <w:tc>
          <w:tcPr>
            <w:tcW w:w="580"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-8.172.925</w:t>
            </w:r>
          </w:p>
        </w:tc>
        <w:tc>
          <w:tcPr>
            <w:tcW w:w="46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3.682.472</w:t>
            </w:r>
          </w:p>
        </w:tc>
        <w:tc>
          <w:tcPr>
            <w:tcW w:w="437"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-24.229.945</w:t>
            </w:r>
          </w:p>
        </w:tc>
      </w:tr>
      <w:tr w:rsidR="00314FAD" w:rsidTr="00151FA0">
        <w:trPr>
          <w:trHeight w:val="170"/>
        </w:trPr>
        <w:tc>
          <w:tcPr>
            <w:tcW w:w="2079"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314FAD" w:rsidRDefault="00314FAD" w:rsidP="00AC4B14">
            <w:pPr>
              <w:spacing w:before="0" w:after="0"/>
              <w:rPr>
                <w:rFonts w:ascii="Calibri" w:hAnsi="Calibri"/>
                <w:szCs w:val="20"/>
              </w:rPr>
            </w:pPr>
            <w:r>
              <w:rPr>
                <w:rFonts w:ascii="Calibri" w:hAnsi="Calibri"/>
                <w:szCs w:val="20"/>
              </w:rPr>
              <w:t>Čisti dob-izg 2013 MINUS nove obremenitve 2015 0% OLAJŠAVA v €</w:t>
            </w:r>
          </w:p>
        </w:tc>
        <w:tc>
          <w:tcPr>
            <w:tcW w:w="477"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6.119.858</w:t>
            </w:r>
          </w:p>
        </w:tc>
        <w:tc>
          <w:tcPr>
            <w:tcW w:w="517"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-3.621.130</w:t>
            </w:r>
          </w:p>
        </w:tc>
        <w:tc>
          <w:tcPr>
            <w:tcW w:w="447"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-28.134.592</w:t>
            </w:r>
          </w:p>
        </w:tc>
        <w:tc>
          <w:tcPr>
            <w:tcW w:w="580"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-8.647.174</w:t>
            </w:r>
          </w:p>
        </w:tc>
        <w:tc>
          <w:tcPr>
            <w:tcW w:w="463"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-220.572</w:t>
            </w:r>
          </w:p>
        </w:tc>
        <w:tc>
          <w:tcPr>
            <w:tcW w:w="437"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314FAD" w:rsidRDefault="00314FAD" w:rsidP="00AC4B14">
            <w:pPr>
              <w:spacing w:before="0" w:after="0"/>
              <w:jc w:val="right"/>
              <w:rPr>
                <w:rFonts w:ascii="Calibri" w:hAnsi="Calibri"/>
                <w:szCs w:val="20"/>
              </w:rPr>
            </w:pPr>
            <w:r>
              <w:rPr>
                <w:rFonts w:ascii="Calibri" w:hAnsi="Calibri"/>
                <w:szCs w:val="20"/>
              </w:rPr>
              <w:t>-34.503.609</w:t>
            </w:r>
          </w:p>
        </w:tc>
      </w:tr>
      <w:tr w:rsidR="00314FAD" w:rsidTr="0015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079" w:type="pct"/>
            <w:shd w:val="clear" w:color="auto" w:fill="FF0000"/>
            <w:noWrap/>
            <w:tcMar>
              <w:top w:w="0" w:type="dxa"/>
              <w:left w:w="70" w:type="dxa"/>
              <w:bottom w:w="0" w:type="dxa"/>
              <w:right w:w="70" w:type="dxa"/>
            </w:tcMar>
            <w:vAlign w:val="bottom"/>
          </w:tcPr>
          <w:p w:rsidR="00314FAD" w:rsidRDefault="00314FAD" w:rsidP="00D34E6F">
            <w:pPr>
              <w:rPr>
                <w:rFonts w:ascii="Calibri" w:hAnsi="Calibri"/>
                <w:b/>
                <w:bCs/>
                <w:color w:val="FFFFFF"/>
                <w:szCs w:val="20"/>
              </w:rPr>
            </w:pPr>
            <w:r>
              <w:rPr>
                <w:rFonts w:ascii="Calibri" w:hAnsi="Calibri"/>
                <w:b/>
                <w:bCs/>
                <w:color w:val="FFFFFF"/>
                <w:szCs w:val="20"/>
              </w:rPr>
              <w:t>UKREPI - ocena</w:t>
            </w:r>
          </w:p>
        </w:tc>
        <w:tc>
          <w:tcPr>
            <w:tcW w:w="477" w:type="pct"/>
            <w:shd w:val="clear" w:color="auto" w:fill="FF0000"/>
            <w:tcMar>
              <w:top w:w="0" w:type="dxa"/>
              <w:left w:w="70" w:type="dxa"/>
              <w:bottom w:w="0" w:type="dxa"/>
              <w:right w:w="70" w:type="dxa"/>
            </w:tcMar>
            <w:vAlign w:val="bottom"/>
          </w:tcPr>
          <w:p w:rsidR="00314FAD" w:rsidRDefault="00314FAD" w:rsidP="00D34E6F">
            <w:pPr>
              <w:rPr>
                <w:rFonts w:ascii="Calibri" w:hAnsi="Calibri"/>
                <w:b/>
                <w:bCs/>
                <w:color w:val="FFFFFF"/>
                <w:szCs w:val="20"/>
              </w:rPr>
            </w:pPr>
            <w:r>
              <w:rPr>
                <w:rFonts w:ascii="Calibri" w:hAnsi="Calibri"/>
                <w:b/>
                <w:bCs/>
                <w:color w:val="FFFFFF"/>
                <w:szCs w:val="20"/>
              </w:rPr>
              <w:t>Optimiranje</w:t>
            </w:r>
          </w:p>
        </w:tc>
        <w:tc>
          <w:tcPr>
            <w:tcW w:w="517" w:type="pct"/>
            <w:shd w:val="clear" w:color="auto" w:fill="FF0000"/>
            <w:tcMar>
              <w:top w:w="0" w:type="dxa"/>
              <w:left w:w="70" w:type="dxa"/>
              <w:bottom w:w="0" w:type="dxa"/>
              <w:right w:w="70" w:type="dxa"/>
            </w:tcMar>
            <w:vAlign w:val="bottom"/>
          </w:tcPr>
          <w:p w:rsidR="00314FAD" w:rsidRDefault="00314FAD" w:rsidP="00D34E6F">
            <w:pPr>
              <w:rPr>
                <w:rFonts w:ascii="Calibri" w:hAnsi="Calibri"/>
                <w:b/>
                <w:bCs/>
                <w:color w:val="FFFFFF"/>
                <w:szCs w:val="20"/>
              </w:rPr>
            </w:pPr>
            <w:r>
              <w:rPr>
                <w:rFonts w:ascii="Calibri" w:hAnsi="Calibri"/>
                <w:b/>
                <w:bCs/>
                <w:color w:val="FFFFFF"/>
                <w:szCs w:val="20"/>
              </w:rPr>
              <w:t>Sanacija, selitve</w:t>
            </w:r>
          </w:p>
        </w:tc>
        <w:tc>
          <w:tcPr>
            <w:tcW w:w="447" w:type="pct"/>
            <w:shd w:val="clear" w:color="auto" w:fill="FF0000"/>
            <w:tcMar>
              <w:top w:w="0" w:type="dxa"/>
              <w:left w:w="70" w:type="dxa"/>
              <w:bottom w:w="0" w:type="dxa"/>
              <w:right w:w="70" w:type="dxa"/>
            </w:tcMar>
            <w:vAlign w:val="bottom"/>
          </w:tcPr>
          <w:p w:rsidR="00314FAD" w:rsidRDefault="00314FAD" w:rsidP="00D34E6F">
            <w:pPr>
              <w:rPr>
                <w:rFonts w:ascii="Calibri" w:hAnsi="Calibri"/>
                <w:b/>
                <w:bCs/>
                <w:color w:val="FFFFFF"/>
                <w:szCs w:val="20"/>
              </w:rPr>
            </w:pPr>
            <w:r>
              <w:rPr>
                <w:rFonts w:ascii="Calibri" w:hAnsi="Calibri"/>
                <w:b/>
                <w:bCs/>
                <w:color w:val="FFFFFF"/>
                <w:szCs w:val="20"/>
              </w:rPr>
              <w:t>Sanacija</w:t>
            </w:r>
          </w:p>
        </w:tc>
        <w:tc>
          <w:tcPr>
            <w:tcW w:w="580" w:type="pct"/>
            <w:shd w:val="clear" w:color="auto" w:fill="FF0000"/>
            <w:tcMar>
              <w:top w:w="0" w:type="dxa"/>
              <w:left w:w="70" w:type="dxa"/>
              <w:bottom w:w="0" w:type="dxa"/>
              <w:right w:w="70" w:type="dxa"/>
            </w:tcMar>
            <w:vAlign w:val="bottom"/>
          </w:tcPr>
          <w:p w:rsidR="00314FAD" w:rsidRDefault="00314FAD" w:rsidP="00D34E6F">
            <w:pPr>
              <w:rPr>
                <w:rFonts w:ascii="Calibri" w:hAnsi="Calibri"/>
                <w:b/>
                <w:bCs/>
                <w:color w:val="FFFFFF"/>
                <w:szCs w:val="20"/>
              </w:rPr>
            </w:pPr>
            <w:r>
              <w:rPr>
                <w:rFonts w:ascii="Calibri" w:hAnsi="Calibri"/>
                <w:b/>
                <w:bCs/>
                <w:color w:val="FFFFFF"/>
                <w:szCs w:val="20"/>
              </w:rPr>
              <w:t>Sanacija, </w:t>
            </w:r>
          </w:p>
          <w:p w:rsidR="00314FAD" w:rsidRDefault="00314FAD" w:rsidP="00D34E6F">
            <w:pPr>
              <w:rPr>
                <w:rFonts w:ascii="Calibri" w:hAnsi="Calibri"/>
                <w:b/>
                <w:bCs/>
                <w:color w:val="FFFFFF"/>
                <w:szCs w:val="20"/>
              </w:rPr>
            </w:pPr>
            <w:r>
              <w:rPr>
                <w:rFonts w:ascii="Calibri" w:hAnsi="Calibri"/>
                <w:b/>
                <w:bCs/>
                <w:color w:val="FFFFFF"/>
                <w:szCs w:val="20"/>
              </w:rPr>
              <w:t xml:space="preserve"> selitve</w:t>
            </w:r>
          </w:p>
        </w:tc>
        <w:tc>
          <w:tcPr>
            <w:tcW w:w="463" w:type="pct"/>
            <w:shd w:val="clear" w:color="auto" w:fill="FF0000"/>
            <w:tcMar>
              <w:top w:w="0" w:type="dxa"/>
              <w:left w:w="70" w:type="dxa"/>
              <w:bottom w:w="0" w:type="dxa"/>
              <w:right w:w="70" w:type="dxa"/>
            </w:tcMar>
            <w:vAlign w:val="bottom"/>
          </w:tcPr>
          <w:p w:rsidR="00314FAD" w:rsidRDefault="00314FAD" w:rsidP="00D34E6F">
            <w:pPr>
              <w:rPr>
                <w:rFonts w:ascii="Calibri" w:hAnsi="Calibri"/>
                <w:b/>
                <w:bCs/>
                <w:color w:val="FFFFFF"/>
                <w:szCs w:val="20"/>
              </w:rPr>
            </w:pPr>
            <w:r>
              <w:rPr>
                <w:rFonts w:ascii="Calibri" w:hAnsi="Calibri"/>
                <w:b/>
                <w:bCs/>
                <w:color w:val="FFFFFF"/>
                <w:szCs w:val="20"/>
              </w:rPr>
              <w:t>Manj naložb, sanacija, selitve</w:t>
            </w:r>
          </w:p>
        </w:tc>
        <w:tc>
          <w:tcPr>
            <w:tcW w:w="437" w:type="pct"/>
            <w:noWrap/>
            <w:tcMar>
              <w:top w:w="0" w:type="dxa"/>
              <w:left w:w="70" w:type="dxa"/>
              <w:bottom w:w="0" w:type="dxa"/>
              <w:right w:w="70" w:type="dxa"/>
            </w:tcMar>
            <w:vAlign w:val="bottom"/>
          </w:tcPr>
          <w:p w:rsidR="00314FAD" w:rsidRDefault="00314FAD" w:rsidP="00D34E6F">
            <w:pPr>
              <w:rPr>
                <w:rFonts w:ascii="Calibri" w:hAnsi="Calibri"/>
                <w:szCs w:val="20"/>
              </w:rPr>
            </w:pPr>
          </w:p>
        </w:tc>
      </w:tr>
      <w:tr w:rsidR="00314FAD" w:rsidTr="0015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079" w:type="pct"/>
            <w:noWrap/>
            <w:tcMar>
              <w:top w:w="0" w:type="dxa"/>
              <w:left w:w="70" w:type="dxa"/>
              <w:bottom w:w="0" w:type="dxa"/>
              <w:right w:w="70" w:type="dxa"/>
            </w:tcMar>
            <w:vAlign w:val="bottom"/>
          </w:tcPr>
          <w:p w:rsidR="00314FAD" w:rsidRDefault="00314FAD" w:rsidP="00151FA0">
            <w:pPr>
              <w:spacing w:before="0" w:after="0"/>
              <w:rPr>
                <w:rFonts w:ascii="Calibri" w:hAnsi="Calibri"/>
                <w:szCs w:val="20"/>
              </w:rPr>
            </w:pPr>
            <w:r>
              <w:rPr>
                <w:rFonts w:ascii="Calibri" w:hAnsi="Calibri"/>
                <w:szCs w:val="20"/>
              </w:rPr>
              <w:t> </w:t>
            </w:r>
          </w:p>
        </w:tc>
        <w:tc>
          <w:tcPr>
            <w:tcW w:w="477" w:type="pct"/>
            <w:noWrap/>
            <w:tcMar>
              <w:top w:w="0" w:type="dxa"/>
              <w:left w:w="70" w:type="dxa"/>
              <w:bottom w:w="0" w:type="dxa"/>
              <w:right w:w="70" w:type="dxa"/>
            </w:tcMar>
            <w:vAlign w:val="bottom"/>
          </w:tcPr>
          <w:p w:rsidR="00314FAD" w:rsidRDefault="00314FAD" w:rsidP="00151FA0">
            <w:pPr>
              <w:spacing w:before="0" w:after="0"/>
              <w:rPr>
                <w:rFonts w:ascii="Calibri" w:hAnsi="Calibri"/>
                <w:szCs w:val="20"/>
              </w:rPr>
            </w:pPr>
            <w:r>
              <w:rPr>
                <w:rFonts w:ascii="Calibri" w:hAnsi="Calibri"/>
                <w:szCs w:val="20"/>
              </w:rPr>
              <w:t> </w:t>
            </w:r>
          </w:p>
        </w:tc>
        <w:tc>
          <w:tcPr>
            <w:tcW w:w="517" w:type="pct"/>
            <w:noWrap/>
            <w:tcMar>
              <w:top w:w="0" w:type="dxa"/>
              <w:left w:w="70" w:type="dxa"/>
              <w:bottom w:w="0" w:type="dxa"/>
              <w:right w:w="70" w:type="dxa"/>
            </w:tcMar>
            <w:vAlign w:val="bottom"/>
          </w:tcPr>
          <w:p w:rsidR="00314FAD" w:rsidRDefault="00314FAD" w:rsidP="00151FA0">
            <w:pPr>
              <w:spacing w:before="0" w:after="0"/>
              <w:rPr>
                <w:rFonts w:ascii="Calibri" w:hAnsi="Calibri"/>
                <w:szCs w:val="20"/>
              </w:rPr>
            </w:pPr>
            <w:r>
              <w:rPr>
                <w:rFonts w:ascii="Calibri" w:hAnsi="Calibri"/>
                <w:szCs w:val="20"/>
              </w:rPr>
              <w:t> </w:t>
            </w:r>
          </w:p>
        </w:tc>
        <w:tc>
          <w:tcPr>
            <w:tcW w:w="447" w:type="pct"/>
            <w:noWrap/>
            <w:tcMar>
              <w:top w:w="0" w:type="dxa"/>
              <w:left w:w="70" w:type="dxa"/>
              <w:bottom w:w="0" w:type="dxa"/>
              <w:right w:w="70" w:type="dxa"/>
            </w:tcMar>
            <w:vAlign w:val="bottom"/>
          </w:tcPr>
          <w:p w:rsidR="00314FAD" w:rsidRDefault="00314FAD" w:rsidP="00151FA0">
            <w:pPr>
              <w:spacing w:before="0" w:after="0"/>
              <w:rPr>
                <w:rFonts w:ascii="Calibri" w:hAnsi="Calibri"/>
                <w:szCs w:val="20"/>
              </w:rPr>
            </w:pPr>
            <w:r>
              <w:rPr>
                <w:rFonts w:ascii="Calibri" w:hAnsi="Calibri"/>
                <w:szCs w:val="20"/>
              </w:rPr>
              <w:t> </w:t>
            </w:r>
          </w:p>
        </w:tc>
        <w:tc>
          <w:tcPr>
            <w:tcW w:w="580" w:type="pct"/>
            <w:noWrap/>
            <w:tcMar>
              <w:top w:w="0" w:type="dxa"/>
              <w:left w:w="70" w:type="dxa"/>
              <w:bottom w:w="0" w:type="dxa"/>
              <w:right w:w="70" w:type="dxa"/>
            </w:tcMar>
            <w:vAlign w:val="bottom"/>
          </w:tcPr>
          <w:p w:rsidR="00314FAD" w:rsidRDefault="00314FAD" w:rsidP="00151FA0">
            <w:pPr>
              <w:spacing w:before="0" w:after="0"/>
              <w:rPr>
                <w:rFonts w:ascii="Calibri" w:hAnsi="Calibri"/>
                <w:szCs w:val="20"/>
              </w:rPr>
            </w:pPr>
            <w:r>
              <w:rPr>
                <w:rFonts w:ascii="Calibri" w:hAnsi="Calibri"/>
                <w:szCs w:val="20"/>
              </w:rPr>
              <w:t> </w:t>
            </w:r>
          </w:p>
        </w:tc>
        <w:tc>
          <w:tcPr>
            <w:tcW w:w="463" w:type="pct"/>
            <w:noWrap/>
            <w:tcMar>
              <w:top w:w="0" w:type="dxa"/>
              <w:left w:w="70" w:type="dxa"/>
              <w:bottom w:w="0" w:type="dxa"/>
              <w:right w:w="70" w:type="dxa"/>
            </w:tcMar>
            <w:vAlign w:val="bottom"/>
          </w:tcPr>
          <w:p w:rsidR="00314FAD" w:rsidRDefault="00314FAD" w:rsidP="00151FA0">
            <w:pPr>
              <w:spacing w:before="0" w:after="0"/>
              <w:rPr>
                <w:rFonts w:ascii="Calibri" w:hAnsi="Calibri"/>
                <w:szCs w:val="20"/>
              </w:rPr>
            </w:pPr>
            <w:r>
              <w:rPr>
                <w:rFonts w:ascii="Calibri" w:hAnsi="Calibri"/>
                <w:szCs w:val="20"/>
              </w:rPr>
              <w:t> </w:t>
            </w:r>
          </w:p>
        </w:tc>
        <w:tc>
          <w:tcPr>
            <w:tcW w:w="437" w:type="pct"/>
            <w:noWrap/>
            <w:tcMar>
              <w:top w:w="0" w:type="dxa"/>
              <w:left w:w="70" w:type="dxa"/>
              <w:bottom w:w="0" w:type="dxa"/>
              <w:right w:w="70" w:type="dxa"/>
            </w:tcMar>
            <w:vAlign w:val="bottom"/>
          </w:tcPr>
          <w:p w:rsidR="00314FAD" w:rsidRDefault="00314FAD" w:rsidP="00151FA0">
            <w:pPr>
              <w:spacing w:before="0" w:after="0"/>
              <w:rPr>
                <w:rFonts w:ascii="Calibri" w:hAnsi="Calibri"/>
                <w:szCs w:val="20"/>
              </w:rPr>
            </w:pPr>
            <w:r>
              <w:rPr>
                <w:rFonts w:ascii="Calibri" w:hAnsi="Calibri"/>
                <w:szCs w:val="20"/>
              </w:rPr>
              <w:t> </w:t>
            </w:r>
          </w:p>
        </w:tc>
      </w:tr>
      <w:tr w:rsidR="00314FAD" w:rsidTr="0015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079" w:type="pct"/>
            <w:noWrap/>
            <w:tcMar>
              <w:top w:w="0" w:type="dxa"/>
              <w:left w:w="70" w:type="dxa"/>
              <w:bottom w:w="0" w:type="dxa"/>
              <w:right w:w="70" w:type="dxa"/>
            </w:tcMar>
            <w:vAlign w:val="bottom"/>
          </w:tcPr>
          <w:p w:rsidR="00314FAD" w:rsidRPr="00151FA0" w:rsidRDefault="00314FAD" w:rsidP="00151FA0">
            <w:pPr>
              <w:spacing w:before="0" w:after="0"/>
              <w:rPr>
                <w:rFonts w:ascii="Calibri" w:hAnsi="Calibri"/>
                <w:b/>
                <w:sz w:val="28"/>
                <w:szCs w:val="28"/>
              </w:rPr>
            </w:pPr>
            <w:r w:rsidRPr="00151FA0">
              <w:rPr>
                <w:rFonts w:ascii="Calibri" w:hAnsi="Calibri"/>
                <w:b/>
                <w:sz w:val="28"/>
                <w:szCs w:val="28"/>
              </w:rPr>
              <w:t>Št. ogroženih del</w:t>
            </w:r>
            <w:r w:rsidR="00E9623C">
              <w:rPr>
                <w:rFonts w:ascii="Calibri" w:hAnsi="Calibri"/>
                <w:b/>
                <w:sz w:val="28"/>
                <w:szCs w:val="28"/>
              </w:rPr>
              <w:t>.</w:t>
            </w:r>
            <w:r w:rsidRPr="00151FA0">
              <w:rPr>
                <w:rFonts w:ascii="Calibri" w:hAnsi="Calibri"/>
                <w:b/>
                <w:sz w:val="28"/>
                <w:szCs w:val="28"/>
              </w:rPr>
              <w:t xml:space="preserve"> mest (70% olaj CO2))</w:t>
            </w:r>
          </w:p>
        </w:tc>
        <w:tc>
          <w:tcPr>
            <w:tcW w:w="477" w:type="pct"/>
            <w:noWrap/>
            <w:tcMar>
              <w:top w:w="0" w:type="dxa"/>
              <w:left w:w="70" w:type="dxa"/>
              <w:bottom w:w="0" w:type="dxa"/>
              <w:right w:w="70" w:type="dxa"/>
            </w:tcMar>
            <w:vAlign w:val="bottom"/>
          </w:tcPr>
          <w:p w:rsidR="00314FAD" w:rsidRPr="00151FA0" w:rsidRDefault="00314FAD" w:rsidP="00151FA0">
            <w:pPr>
              <w:spacing w:before="0" w:after="0"/>
              <w:rPr>
                <w:rFonts w:ascii="Calibri" w:hAnsi="Calibri"/>
                <w:b/>
                <w:sz w:val="28"/>
                <w:szCs w:val="28"/>
              </w:rPr>
            </w:pPr>
            <w:r w:rsidRPr="00151FA0">
              <w:rPr>
                <w:rFonts w:ascii="Calibri" w:hAnsi="Calibri"/>
                <w:b/>
                <w:sz w:val="28"/>
                <w:szCs w:val="28"/>
              </w:rPr>
              <w:t> </w:t>
            </w:r>
          </w:p>
        </w:tc>
        <w:tc>
          <w:tcPr>
            <w:tcW w:w="517" w:type="pct"/>
            <w:noWrap/>
            <w:tcMar>
              <w:top w:w="0" w:type="dxa"/>
              <w:left w:w="70" w:type="dxa"/>
              <w:bottom w:w="0" w:type="dxa"/>
              <w:right w:w="70" w:type="dxa"/>
            </w:tcMar>
            <w:vAlign w:val="bottom"/>
          </w:tcPr>
          <w:p w:rsidR="00314FAD" w:rsidRPr="00151FA0" w:rsidRDefault="00314FAD" w:rsidP="00151FA0">
            <w:pPr>
              <w:spacing w:before="0" w:after="0"/>
              <w:rPr>
                <w:rFonts w:ascii="Calibri" w:hAnsi="Calibri"/>
                <w:b/>
                <w:sz w:val="28"/>
                <w:szCs w:val="28"/>
              </w:rPr>
            </w:pPr>
            <w:r w:rsidRPr="00151FA0">
              <w:rPr>
                <w:rFonts w:ascii="Calibri" w:hAnsi="Calibri"/>
                <w:b/>
                <w:sz w:val="28"/>
                <w:szCs w:val="28"/>
              </w:rPr>
              <w:t> </w:t>
            </w:r>
          </w:p>
        </w:tc>
        <w:tc>
          <w:tcPr>
            <w:tcW w:w="447" w:type="pct"/>
            <w:noWrap/>
            <w:tcMar>
              <w:top w:w="0" w:type="dxa"/>
              <w:left w:w="70" w:type="dxa"/>
              <w:bottom w:w="0" w:type="dxa"/>
              <w:right w:w="70" w:type="dxa"/>
            </w:tcMar>
            <w:vAlign w:val="bottom"/>
          </w:tcPr>
          <w:p w:rsidR="00314FAD" w:rsidRPr="00151FA0" w:rsidRDefault="00314FAD" w:rsidP="00151FA0">
            <w:pPr>
              <w:spacing w:before="0" w:after="0"/>
              <w:rPr>
                <w:rFonts w:ascii="Calibri" w:hAnsi="Calibri"/>
                <w:b/>
                <w:sz w:val="28"/>
                <w:szCs w:val="28"/>
              </w:rPr>
            </w:pPr>
            <w:r w:rsidRPr="00151FA0">
              <w:rPr>
                <w:rFonts w:ascii="Calibri" w:hAnsi="Calibri"/>
                <w:b/>
                <w:sz w:val="28"/>
                <w:szCs w:val="28"/>
              </w:rPr>
              <w:t> </w:t>
            </w:r>
          </w:p>
        </w:tc>
        <w:tc>
          <w:tcPr>
            <w:tcW w:w="580" w:type="pct"/>
            <w:noWrap/>
            <w:tcMar>
              <w:top w:w="0" w:type="dxa"/>
              <w:left w:w="70" w:type="dxa"/>
              <w:bottom w:w="0" w:type="dxa"/>
              <w:right w:w="70" w:type="dxa"/>
            </w:tcMar>
            <w:vAlign w:val="bottom"/>
          </w:tcPr>
          <w:p w:rsidR="00314FAD" w:rsidRPr="00151FA0" w:rsidRDefault="00314FAD" w:rsidP="00151FA0">
            <w:pPr>
              <w:spacing w:before="0" w:after="0"/>
              <w:rPr>
                <w:rFonts w:ascii="Calibri" w:hAnsi="Calibri"/>
                <w:b/>
                <w:sz w:val="28"/>
                <w:szCs w:val="28"/>
              </w:rPr>
            </w:pPr>
            <w:r w:rsidRPr="00151FA0">
              <w:rPr>
                <w:rFonts w:ascii="Calibri" w:hAnsi="Calibri"/>
                <w:b/>
                <w:sz w:val="28"/>
                <w:szCs w:val="28"/>
              </w:rPr>
              <w:t> </w:t>
            </w:r>
          </w:p>
        </w:tc>
        <w:tc>
          <w:tcPr>
            <w:tcW w:w="463" w:type="pct"/>
            <w:noWrap/>
            <w:tcMar>
              <w:top w:w="0" w:type="dxa"/>
              <w:left w:w="70" w:type="dxa"/>
              <w:bottom w:w="0" w:type="dxa"/>
              <w:right w:w="70" w:type="dxa"/>
            </w:tcMar>
            <w:vAlign w:val="bottom"/>
          </w:tcPr>
          <w:p w:rsidR="00314FAD" w:rsidRPr="00151FA0" w:rsidRDefault="00314FAD" w:rsidP="00151FA0">
            <w:pPr>
              <w:spacing w:before="0" w:after="0"/>
              <w:rPr>
                <w:rFonts w:ascii="Calibri" w:hAnsi="Calibri"/>
                <w:b/>
                <w:sz w:val="28"/>
                <w:szCs w:val="28"/>
              </w:rPr>
            </w:pPr>
            <w:r w:rsidRPr="00151FA0">
              <w:rPr>
                <w:rFonts w:ascii="Calibri" w:hAnsi="Calibri"/>
                <w:b/>
                <w:sz w:val="28"/>
                <w:szCs w:val="28"/>
              </w:rPr>
              <w:t> </w:t>
            </w:r>
          </w:p>
        </w:tc>
        <w:tc>
          <w:tcPr>
            <w:tcW w:w="437" w:type="pct"/>
            <w:noWrap/>
            <w:tcMar>
              <w:top w:w="0" w:type="dxa"/>
              <w:left w:w="70" w:type="dxa"/>
              <w:bottom w:w="0" w:type="dxa"/>
              <w:right w:w="70" w:type="dxa"/>
            </w:tcMar>
            <w:vAlign w:val="bottom"/>
          </w:tcPr>
          <w:p w:rsidR="00314FAD" w:rsidRPr="00151FA0" w:rsidRDefault="00314FAD" w:rsidP="00151FA0">
            <w:pPr>
              <w:spacing w:before="0" w:after="0"/>
              <w:rPr>
                <w:rFonts w:ascii="Calibri" w:hAnsi="Calibri"/>
                <w:b/>
                <w:sz w:val="28"/>
                <w:szCs w:val="28"/>
              </w:rPr>
            </w:pPr>
            <w:r w:rsidRPr="00151FA0">
              <w:rPr>
                <w:rFonts w:ascii="Calibri" w:hAnsi="Calibri"/>
                <w:b/>
                <w:sz w:val="28"/>
                <w:szCs w:val="28"/>
              </w:rPr>
              <w:t> </w:t>
            </w:r>
          </w:p>
        </w:tc>
      </w:tr>
      <w:tr w:rsidR="00314FAD" w:rsidTr="0015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079" w:type="pct"/>
            <w:noWrap/>
            <w:tcMar>
              <w:top w:w="0" w:type="dxa"/>
              <w:left w:w="70" w:type="dxa"/>
              <w:bottom w:w="0" w:type="dxa"/>
              <w:right w:w="70" w:type="dxa"/>
            </w:tcMar>
            <w:vAlign w:val="bottom"/>
          </w:tcPr>
          <w:p w:rsidR="00314FAD" w:rsidRPr="00151FA0" w:rsidRDefault="00314FAD" w:rsidP="00151FA0">
            <w:pPr>
              <w:spacing w:before="0" w:after="0"/>
              <w:rPr>
                <w:rFonts w:ascii="Calibri" w:hAnsi="Calibri"/>
                <w:b/>
                <w:sz w:val="24"/>
              </w:rPr>
            </w:pPr>
            <w:r w:rsidRPr="00151FA0">
              <w:rPr>
                <w:rFonts w:ascii="Calibri" w:hAnsi="Calibri"/>
                <w:b/>
                <w:sz w:val="24"/>
              </w:rPr>
              <w:t>neposredno</w:t>
            </w:r>
          </w:p>
        </w:tc>
        <w:tc>
          <w:tcPr>
            <w:tcW w:w="477" w:type="pct"/>
            <w:noWrap/>
            <w:tcMar>
              <w:top w:w="0" w:type="dxa"/>
              <w:left w:w="70" w:type="dxa"/>
              <w:bottom w:w="0" w:type="dxa"/>
              <w:right w:w="70" w:type="dxa"/>
            </w:tcMar>
            <w:vAlign w:val="bottom"/>
          </w:tcPr>
          <w:p w:rsidR="00314FAD" w:rsidRPr="00151FA0" w:rsidRDefault="00314FAD" w:rsidP="00151FA0">
            <w:pPr>
              <w:spacing w:before="0" w:after="0"/>
              <w:jc w:val="right"/>
              <w:rPr>
                <w:rFonts w:ascii="Calibri" w:hAnsi="Calibri"/>
                <w:b/>
                <w:sz w:val="24"/>
              </w:rPr>
            </w:pPr>
            <w:r w:rsidRPr="00151FA0">
              <w:rPr>
                <w:rFonts w:ascii="Calibri" w:hAnsi="Calibri"/>
                <w:b/>
                <w:sz w:val="24"/>
              </w:rPr>
              <w:t>-69</w:t>
            </w:r>
          </w:p>
        </w:tc>
        <w:tc>
          <w:tcPr>
            <w:tcW w:w="517" w:type="pct"/>
            <w:noWrap/>
            <w:tcMar>
              <w:top w:w="0" w:type="dxa"/>
              <w:left w:w="70" w:type="dxa"/>
              <w:bottom w:w="0" w:type="dxa"/>
              <w:right w:w="70" w:type="dxa"/>
            </w:tcMar>
            <w:vAlign w:val="bottom"/>
          </w:tcPr>
          <w:p w:rsidR="00314FAD" w:rsidRPr="00151FA0" w:rsidRDefault="00314FAD" w:rsidP="00151FA0">
            <w:pPr>
              <w:spacing w:before="0" w:after="0"/>
              <w:jc w:val="right"/>
              <w:rPr>
                <w:rFonts w:ascii="Calibri" w:hAnsi="Calibri"/>
                <w:b/>
                <w:sz w:val="24"/>
              </w:rPr>
            </w:pPr>
            <w:r w:rsidRPr="00151FA0">
              <w:rPr>
                <w:rFonts w:ascii="Calibri" w:hAnsi="Calibri"/>
                <w:b/>
                <w:sz w:val="24"/>
              </w:rPr>
              <w:t>-33</w:t>
            </w:r>
          </w:p>
        </w:tc>
        <w:tc>
          <w:tcPr>
            <w:tcW w:w="447" w:type="pct"/>
            <w:noWrap/>
            <w:tcMar>
              <w:top w:w="0" w:type="dxa"/>
              <w:left w:w="70" w:type="dxa"/>
              <w:bottom w:w="0" w:type="dxa"/>
              <w:right w:w="70" w:type="dxa"/>
            </w:tcMar>
            <w:vAlign w:val="bottom"/>
          </w:tcPr>
          <w:p w:rsidR="00314FAD" w:rsidRPr="00151FA0" w:rsidRDefault="00314FAD" w:rsidP="00151FA0">
            <w:pPr>
              <w:spacing w:before="0" w:after="0"/>
              <w:jc w:val="right"/>
              <w:rPr>
                <w:rFonts w:ascii="Calibri" w:hAnsi="Calibri"/>
                <w:b/>
                <w:sz w:val="24"/>
              </w:rPr>
            </w:pPr>
            <w:r w:rsidRPr="00151FA0">
              <w:rPr>
                <w:rFonts w:ascii="Calibri" w:hAnsi="Calibri"/>
                <w:b/>
                <w:sz w:val="24"/>
              </w:rPr>
              <w:t>-218</w:t>
            </w:r>
          </w:p>
        </w:tc>
        <w:tc>
          <w:tcPr>
            <w:tcW w:w="580" w:type="pct"/>
            <w:noWrap/>
            <w:tcMar>
              <w:top w:w="0" w:type="dxa"/>
              <w:left w:w="70" w:type="dxa"/>
              <w:bottom w:w="0" w:type="dxa"/>
              <w:right w:w="70" w:type="dxa"/>
            </w:tcMar>
            <w:vAlign w:val="bottom"/>
          </w:tcPr>
          <w:p w:rsidR="00314FAD" w:rsidRPr="00151FA0" w:rsidRDefault="00314FAD" w:rsidP="00151FA0">
            <w:pPr>
              <w:spacing w:before="0" w:after="0"/>
              <w:jc w:val="right"/>
              <w:rPr>
                <w:rFonts w:ascii="Calibri" w:hAnsi="Calibri"/>
                <w:b/>
                <w:sz w:val="24"/>
              </w:rPr>
            </w:pPr>
            <w:r w:rsidRPr="00151FA0">
              <w:rPr>
                <w:rFonts w:ascii="Calibri" w:hAnsi="Calibri"/>
                <w:b/>
                <w:sz w:val="24"/>
              </w:rPr>
              <w:t>-452</w:t>
            </w:r>
          </w:p>
        </w:tc>
        <w:tc>
          <w:tcPr>
            <w:tcW w:w="463" w:type="pct"/>
            <w:noWrap/>
            <w:tcMar>
              <w:top w:w="0" w:type="dxa"/>
              <w:left w:w="70" w:type="dxa"/>
              <w:bottom w:w="0" w:type="dxa"/>
              <w:right w:w="70" w:type="dxa"/>
            </w:tcMar>
            <w:vAlign w:val="bottom"/>
          </w:tcPr>
          <w:p w:rsidR="00314FAD" w:rsidRPr="00151FA0" w:rsidRDefault="00314FAD" w:rsidP="00151FA0">
            <w:pPr>
              <w:spacing w:before="0" w:after="0"/>
              <w:jc w:val="right"/>
              <w:rPr>
                <w:rFonts w:ascii="Calibri" w:hAnsi="Calibri"/>
                <w:b/>
                <w:sz w:val="24"/>
              </w:rPr>
            </w:pPr>
            <w:r w:rsidRPr="00151FA0">
              <w:rPr>
                <w:rFonts w:ascii="Calibri" w:hAnsi="Calibri"/>
                <w:b/>
                <w:sz w:val="24"/>
              </w:rPr>
              <w:t>-414</w:t>
            </w:r>
          </w:p>
        </w:tc>
        <w:tc>
          <w:tcPr>
            <w:tcW w:w="437" w:type="pct"/>
            <w:noWrap/>
            <w:tcMar>
              <w:top w:w="0" w:type="dxa"/>
              <w:left w:w="70" w:type="dxa"/>
              <w:bottom w:w="0" w:type="dxa"/>
              <w:right w:w="70" w:type="dxa"/>
            </w:tcMar>
            <w:vAlign w:val="bottom"/>
          </w:tcPr>
          <w:p w:rsidR="00314FAD" w:rsidRPr="00151FA0" w:rsidRDefault="00314FAD" w:rsidP="00151FA0">
            <w:pPr>
              <w:spacing w:before="0" w:after="0"/>
              <w:jc w:val="right"/>
              <w:rPr>
                <w:rFonts w:ascii="Calibri" w:hAnsi="Calibri"/>
                <w:b/>
                <w:sz w:val="24"/>
              </w:rPr>
            </w:pPr>
            <w:r w:rsidRPr="00151FA0">
              <w:rPr>
                <w:rFonts w:ascii="Calibri" w:hAnsi="Calibri"/>
                <w:b/>
                <w:sz w:val="24"/>
              </w:rPr>
              <w:t>-1.185</w:t>
            </w:r>
          </w:p>
        </w:tc>
      </w:tr>
      <w:tr w:rsidR="00314FAD" w:rsidTr="0015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079" w:type="pct"/>
            <w:noWrap/>
            <w:tcMar>
              <w:top w:w="0" w:type="dxa"/>
              <w:left w:w="70" w:type="dxa"/>
              <w:bottom w:w="0" w:type="dxa"/>
              <w:right w:w="70" w:type="dxa"/>
            </w:tcMar>
            <w:vAlign w:val="bottom"/>
          </w:tcPr>
          <w:p w:rsidR="00314FAD" w:rsidRDefault="00314FAD" w:rsidP="00151FA0">
            <w:pPr>
              <w:spacing w:before="0" w:after="0"/>
              <w:rPr>
                <w:rFonts w:ascii="Calibri" w:hAnsi="Calibri"/>
                <w:szCs w:val="20"/>
              </w:rPr>
            </w:pPr>
            <w:r>
              <w:rPr>
                <w:rFonts w:ascii="Calibri" w:hAnsi="Calibri"/>
                <w:szCs w:val="20"/>
              </w:rPr>
              <w:t>posredno</w:t>
            </w:r>
          </w:p>
        </w:tc>
        <w:tc>
          <w:tcPr>
            <w:tcW w:w="477" w:type="pct"/>
            <w:noWrap/>
            <w:tcMar>
              <w:top w:w="0" w:type="dxa"/>
              <w:left w:w="70" w:type="dxa"/>
              <w:bottom w:w="0" w:type="dxa"/>
              <w:right w:w="70" w:type="dxa"/>
            </w:tcMar>
            <w:vAlign w:val="bottom"/>
          </w:tcPr>
          <w:p w:rsidR="00314FAD" w:rsidRDefault="00314FAD" w:rsidP="00151FA0">
            <w:pPr>
              <w:spacing w:before="0" w:after="0"/>
              <w:jc w:val="right"/>
              <w:rPr>
                <w:rFonts w:ascii="Calibri" w:hAnsi="Calibri"/>
                <w:szCs w:val="20"/>
              </w:rPr>
            </w:pPr>
            <w:r>
              <w:rPr>
                <w:rFonts w:ascii="Calibri" w:hAnsi="Calibri"/>
                <w:szCs w:val="20"/>
              </w:rPr>
              <w:t>-515</w:t>
            </w:r>
          </w:p>
        </w:tc>
        <w:tc>
          <w:tcPr>
            <w:tcW w:w="517" w:type="pct"/>
            <w:noWrap/>
            <w:tcMar>
              <w:top w:w="0" w:type="dxa"/>
              <w:left w:w="70" w:type="dxa"/>
              <w:bottom w:w="0" w:type="dxa"/>
              <w:right w:w="70" w:type="dxa"/>
            </w:tcMar>
            <w:vAlign w:val="bottom"/>
          </w:tcPr>
          <w:p w:rsidR="00314FAD" w:rsidRDefault="00314FAD" w:rsidP="00151FA0">
            <w:pPr>
              <w:spacing w:before="0" w:after="0"/>
              <w:jc w:val="right"/>
              <w:rPr>
                <w:rFonts w:ascii="Calibri" w:hAnsi="Calibri"/>
                <w:szCs w:val="20"/>
              </w:rPr>
            </w:pPr>
            <w:r>
              <w:rPr>
                <w:rFonts w:ascii="Calibri" w:hAnsi="Calibri"/>
                <w:szCs w:val="20"/>
              </w:rPr>
              <w:t>-246</w:t>
            </w:r>
          </w:p>
        </w:tc>
        <w:tc>
          <w:tcPr>
            <w:tcW w:w="447" w:type="pct"/>
            <w:noWrap/>
            <w:tcMar>
              <w:top w:w="0" w:type="dxa"/>
              <w:left w:w="70" w:type="dxa"/>
              <w:bottom w:w="0" w:type="dxa"/>
              <w:right w:w="70" w:type="dxa"/>
            </w:tcMar>
            <w:vAlign w:val="bottom"/>
          </w:tcPr>
          <w:p w:rsidR="00314FAD" w:rsidRDefault="00314FAD" w:rsidP="00151FA0">
            <w:pPr>
              <w:spacing w:before="0" w:after="0"/>
              <w:jc w:val="right"/>
              <w:rPr>
                <w:rFonts w:ascii="Calibri" w:hAnsi="Calibri"/>
                <w:szCs w:val="20"/>
              </w:rPr>
            </w:pPr>
            <w:r>
              <w:rPr>
                <w:rFonts w:ascii="Calibri" w:hAnsi="Calibri"/>
                <w:szCs w:val="20"/>
              </w:rPr>
              <w:t>-1.634</w:t>
            </w:r>
          </w:p>
        </w:tc>
        <w:tc>
          <w:tcPr>
            <w:tcW w:w="580" w:type="pct"/>
            <w:noWrap/>
            <w:tcMar>
              <w:top w:w="0" w:type="dxa"/>
              <w:left w:w="70" w:type="dxa"/>
              <w:bottom w:w="0" w:type="dxa"/>
              <w:right w:w="70" w:type="dxa"/>
            </w:tcMar>
            <w:vAlign w:val="bottom"/>
          </w:tcPr>
          <w:p w:rsidR="00314FAD" w:rsidRDefault="00314FAD" w:rsidP="00151FA0">
            <w:pPr>
              <w:spacing w:before="0" w:after="0"/>
              <w:jc w:val="right"/>
              <w:rPr>
                <w:rFonts w:ascii="Calibri" w:hAnsi="Calibri"/>
                <w:szCs w:val="20"/>
              </w:rPr>
            </w:pPr>
            <w:r>
              <w:rPr>
                <w:rFonts w:ascii="Calibri" w:hAnsi="Calibri"/>
                <w:szCs w:val="20"/>
              </w:rPr>
              <w:t>-3.387</w:t>
            </w:r>
          </w:p>
        </w:tc>
        <w:tc>
          <w:tcPr>
            <w:tcW w:w="463" w:type="pct"/>
            <w:noWrap/>
            <w:tcMar>
              <w:top w:w="0" w:type="dxa"/>
              <w:left w:w="70" w:type="dxa"/>
              <w:bottom w:w="0" w:type="dxa"/>
              <w:right w:w="70" w:type="dxa"/>
            </w:tcMar>
            <w:vAlign w:val="bottom"/>
          </w:tcPr>
          <w:p w:rsidR="00314FAD" w:rsidRDefault="00314FAD" w:rsidP="00151FA0">
            <w:pPr>
              <w:spacing w:before="0" w:after="0"/>
              <w:jc w:val="right"/>
              <w:rPr>
                <w:rFonts w:ascii="Calibri" w:hAnsi="Calibri"/>
                <w:szCs w:val="20"/>
              </w:rPr>
            </w:pPr>
            <w:r>
              <w:rPr>
                <w:rFonts w:ascii="Calibri" w:hAnsi="Calibri"/>
                <w:szCs w:val="20"/>
              </w:rPr>
              <w:t>-3.108</w:t>
            </w:r>
          </w:p>
        </w:tc>
        <w:tc>
          <w:tcPr>
            <w:tcW w:w="437" w:type="pct"/>
            <w:noWrap/>
            <w:tcMar>
              <w:top w:w="0" w:type="dxa"/>
              <w:left w:w="70" w:type="dxa"/>
              <w:bottom w:w="0" w:type="dxa"/>
              <w:right w:w="70" w:type="dxa"/>
            </w:tcMar>
            <w:vAlign w:val="bottom"/>
          </w:tcPr>
          <w:p w:rsidR="00314FAD" w:rsidRDefault="00314FAD" w:rsidP="00151FA0">
            <w:pPr>
              <w:spacing w:before="0" w:after="0"/>
              <w:jc w:val="right"/>
              <w:rPr>
                <w:rFonts w:ascii="Calibri" w:hAnsi="Calibri"/>
                <w:szCs w:val="20"/>
              </w:rPr>
            </w:pPr>
            <w:r>
              <w:rPr>
                <w:rFonts w:ascii="Calibri" w:hAnsi="Calibri"/>
                <w:szCs w:val="20"/>
              </w:rPr>
              <w:t>-8.891</w:t>
            </w:r>
          </w:p>
        </w:tc>
      </w:tr>
      <w:tr w:rsidR="00314FAD" w:rsidTr="0015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079" w:type="pct"/>
            <w:noWrap/>
            <w:tcMar>
              <w:top w:w="0" w:type="dxa"/>
              <w:left w:w="70" w:type="dxa"/>
              <w:bottom w:w="0" w:type="dxa"/>
              <w:right w:w="70" w:type="dxa"/>
            </w:tcMar>
            <w:vAlign w:val="bottom"/>
          </w:tcPr>
          <w:p w:rsidR="00314FAD" w:rsidRPr="00151FA0" w:rsidRDefault="00314FAD" w:rsidP="00151FA0">
            <w:pPr>
              <w:spacing w:before="0" w:after="0"/>
              <w:rPr>
                <w:rFonts w:ascii="Calibri" w:hAnsi="Calibri"/>
                <w:szCs w:val="20"/>
              </w:rPr>
            </w:pPr>
            <w:r w:rsidRPr="00151FA0">
              <w:rPr>
                <w:rFonts w:ascii="Calibri" w:hAnsi="Calibri"/>
                <w:szCs w:val="20"/>
              </w:rPr>
              <w:t>SKUPAJ</w:t>
            </w:r>
          </w:p>
        </w:tc>
        <w:tc>
          <w:tcPr>
            <w:tcW w:w="477" w:type="pct"/>
            <w:noWrap/>
            <w:tcMar>
              <w:top w:w="0" w:type="dxa"/>
              <w:left w:w="70" w:type="dxa"/>
              <w:bottom w:w="0" w:type="dxa"/>
              <w:right w:w="70" w:type="dxa"/>
            </w:tcMar>
            <w:vAlign w:val="bottom"/>
          </w:tcPr>
          <w:p w:rsidR="00314FAD" w:rsidRPr="00151FA0" w:rsidRDefault="00314FAD" w:rsidP="00151FA0">
            <w:pPr>
              <w:spacing w:before="0" w:after="0"/>
              <w:jc w:val="right"/>
              <w:rPr>
                <w:rFonts w:ascii="Calibri" w:hAnsi="Calibri"/>
                <w:szCs w:val="20"/>
              </w:rPr>
            </w:pPr>
            <w:r w:rsidRPr="00151FA0">
              <w:rPr>
                <w:rFonts w:ascii="Calibri" w:hAnsi="Calibri"/>
                <w:szCs w:val="20"/>
              </w:rPr>
              <w:t>-584</w:t>
            </w:r>
          </w:p>
        </w:tc>
        <w:tc>
          <w:tcPr>
            <w:tcW w:w="517" w:type="pct"/>
            <w:noWrap/>
            <w:tcMar>
              <w:top w:w="0" w:type="dxa"/>
              <w:left w:w="70" w:type="dxa"/>
              <w:bottom w:w="0" w:type="dxa"/>
              <w:right w:w="70" w:type="dxa"/>
            </w:tcMar>
            <w:vAlign w:val="bottom"/>
          </w:tcPr>
          <w:p w:rsidR="00314FAD" w:rsidRPr="00151FA0" w:rsidRDefault="00314FAD" w:rsidP="00151FA0">
            <w:pPr>
              <w:spacing w:before="0" w:after="0"/>
              <w:jc w:val="right"/>
              <w:rPr>
                <w:rFonts w:ascii="Calibri" w:hAnsi="Calibri"/>
                <w:szCs w:val="20"/>
              </w:rPr>
            </w:pPr>
            <w:r w:rsidRPr="00151FA0">
              <w:rPr>
                <w:rFonts w:ascii="Calibri" w:hAnsi="Calibri"/>
                <w:szCs w:val="20"/>
              </w:rPr>
              <w:t>-279</w:t>
            </w:r>
          </w:p>
        </w:tc>
        <w:tc>
          <w:tcPr>
            <w:tcW w:w="447" w:type="pct"/>
            <w:noWrap/>
            <w:tcMar>
              <w:top w:w="0" w:type="dxa"/>
              <w:left w:w="70" w:type="dxa"/>
              <w:bottom w:w="0" w:type="dxa"/>
              <w:right w:w="70" w:type="dxa"/>
            </w:tcMar>
            <w:vAlign w:val="bottom"/>
          </w:tcPr>
          <w:p w:rsidR="00314FAD" w:rsidRPr="00151FA0" w:rsidRDefault="00314FAD" w:rsidP="00151FA0">
            <w:pPr>
              <w:spacing w:before="0" w:after="0"/>
              <w:jc w:val="right"/>
              <w:rPr>
                <w:rFonts w:ascii="Calibri" w:hAnsi="Calibri"/>
                <w:szCs w:val="20"/>
              </w:rPr>
            </w:pPr>
            <w:r w:rsidRPr="00151FA0">
              <w:rPr>
                <w:rFonts w:ascii="Calibri" w:hAnsi="Calibri"/>
                <w:szCs w:val="20"/>
              </w:rPr>
              <w:t>-1.852</w:t>
            </w:r>
          </w:p>
        </w:tc>
        <w:tc>
          <w:tcPr>
            <w:tcW w:w="580" w:type="pct"/>
            <w:noWrap/>
            <w:tcMar>
              <w:top w:w="0" w:type="dxa"/>
              <w:left w:w="70" w:type="dxa"/>
              <w:bottom w:w="0" w:type="dxa"/>
              <w:right w:w="70" w:type="dxa"/>
            </w:tcMar>
            <w:vAlign w:val="bottom"/>
          </w:tcPr>
          <w:p w:rsidR="00314FAD" w:rsidRPr="00151FA0" w:rsidRDefault="00314FAD" w:rsidP="00151FA0">
            <w:pPr>
              <w:spacing w:before="0" w:after="0"/>
              <w:jc w:val="right"/>
              <w:rPr>
                <w:rFonts w:ascii="Calibri" w:hAnsi="Calibri"/>
                <w:szCs w:val="20"/>
              </w:rPr>
            </w:pPr>
            <w:r w:rsidRPr="00151FA0">
              <w:rPr>
                <w:rFonts w:ascii="Calibri" w:hAnsi="Calibri"/>
                <w:szCs w:val="20"/>
              </w:rPr>
              <w:t>-3.839</w:t>
            </w:r>
          </w:p>
        </w:tc>
        <w:tc>
          <w:tcPr>
            <w:tcW w:w="463" w:type="pct"/>
            <w:noWrap/>
            <w:tcMar>
              <w:top w:w="0" w:type="dxa"/>
              <w:left w:w="70" w:type="dxa"/>
              <w:bottom w:w="0" w:type="dxa"/>
              <w:right w:w="70" w:type="dxa"/>
            </w:tcMar>
            <w:vAlign w:val="bottom"/>
          </w:tcPr>
          <w:p w:rsidR="00314FAD" w:rsidRPr="00151FA0" w:rsidRDefault="00314FAD" w:rsidP="00151FA0">
            <w:pPr>
              <w:spacing w:before="0" w:after="0"/>
              <w:jc w:val="right"/>
              <w:rPr>
                <w:rFonts w:ascii="Calibri" w:hAnsi="Calibri"/>
                <w:szCs w:val="20"/>
              </w:rPr>
            </w:pPr>
            <w:r w:rsidRPr="00151FA0">
              <w:rPr>
                <w:rFonts w:ascii="Calibri" w:hAnsi="Calibri"/>
                <w:szCs w:val="20"/>
              </w:rPr>
              <w:t>-3.522</w:t>
            </w:r>
          </w:p>
        </w:tc>
        <w:tc>
          <w:tcPr>
            <w:tcW w:w="437" w:type="pct"/>
            <w:noWrap/>
            <w:tcMar>
              <w:top w:w="0" w:type="dxa"/>
              <w:left w:w="70" w:type="dxa"/>
              <w:bottom w:w="0" w:type="dxa"/>
              <w:right w:w="70" w:type="dxa"/>
            </w:tcMar>
            <w:vAlign w:val="bottom"/>
          </w:tcPr>
          <w:p w:rsidR="00314FAD" w:rsidRPr="00151FA0" w:rsidRDefault="00314FAD" w:rsidP="00151FA0">
            <w:pPr>
              <w:spacing w:before="0" w:after="0"/>
              <w:jc w:val="right"/>
              <w:rPr>
                <w:rFonts w:ascii="Calibri" w:hAnsi="Calibri"/>
                <w:szCs w:val="20"/>
              </w:rPr>
            </w:pPr>
            <w:r w:rsidRPr="00151FA0">
              <w:rPr>
                <w:rFonts w:ascii="Calibri" w:hAnsi="Calibri"/>
                <w:szCs w:val="20"/>
              </w:rPr>
              <w:t>-10.076</w:t>
            </w:r>
          </w:p>
        </w:tc>
      </w:tr>
      <w:tr w:rsidR="00314FAD" w:rsidTr="0015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079" w:type="pct"/>
            <w:noWrap/>
            <w:tcMar>
              <w:top w:w="0" w:type="dxa"/>
              <w:left w:w="70" w:type="dxa"/>
              <w:bottom w:w="0" w:type="dxa"/>
              <w:right w:w="70" w:type="dxa"/>
            </w:tcMar>
            <w:vAlign w:val="bottom"/>
          </w:tcPr>
          <w:p w:rsidR="00314FAD" w:rsidRDefault="00314FAD" w:rsidP="00151FA0">
            <w:pPr>
              <w:spacing w:before="0" w:after="0"/>
              <w:rPr>
                <w:rFonts w:ascii="Calibri" w:hAnsi="Calibri"/>
                <w:szCs w:val="20"/>
              </w:rPr>
            </w:pPr>
            <w:r>
              <w:rPr>
                <w:rFonts w:ascii="Calibri" w:hAnsi="Calibri"/>
                <w:szCs w:val="20"/>
              </w:rPr>
              <w:t> </w:t>
            </w:r>
          </w:p>
        </w:tc>
        <w:tc>
          <w:tcPr>
            <w:tcW w:w="477" w:type="pct"/>
            <w:noWrap/>
            <w:tcMar>
              <w:top w:w="0" w:type="dxa"/>
              <w:left w:w="70" w:type="dxa"/>
              <w:bottom w:w="0" w:type="dxa"/>
              <w:right w:w="70" w:type="dxa"/>
            </w:tcMar>
            <w:vAlign w:val="bottom"/>
          </w:tcPr>
          <w:p w:rsidR="00314FAD" w:rsidRDefault="00314FAD" w:rsidP="00151FA0">
            <w:pPr>
              <w:spacing w:before="0" w:after="0"/>
              <w:jc w:val="right"/>
              <w:rPr>
                <w:rFonts w:ascii="Calibri" w:hAnsi="Calibri"/>
                <w:szCs w:val="20"/>
              </w:rPr>
            </w:pPr>
            <w:r>
              <w:rPr>
                <w:rFonts w:ascii="Calibri" w:hAnsi="Calibri"/>
                <w:szCs w:val="20"/>
              </w:rPr>
              <w:t> </w:t>
            </w:r>
          </w:p>
        </w:tc>
        <w:tc>
          <w:tcPr>
            <w:tcW w:w="517" w:type="pct"/>
            <w:noWrap/>
            <w:tcMar>
              <w:top w:w="0" w:type="dxa"/>
              <w:left w:w="70" w:type="dxa"/>
              <w:bottom w:w="0" w:type="dxa"/>
              <w:right w:w="70" w:type="dxa"/>
            </w:tcMar>
            <w:vAlign w:val="bottom"/>
          </w:tcPr>
          <w:p w:rsidR="00314FAD" w:rsidRDefault="00314FAD" w:rsidP="00151FA0">
            <w:pPr>
              <w:spacing w:before="0" w:after="0"/>
              <w:jc w:val="right"/>
              <w:rPr>
                <w:rFonts w:ascii="Calibri" w:hAnsi="Calibri"/>
                <w:szCs w:val="20"/>
              </w:rPr>
            </w:pPr>
            <w:r>
              <w:rPr>
                <w:rFonts w:ascii="Calibri" w:hAnsi="Calibri"/>
                <w:szCs w:val="20"/>
              </w:rPr>
              <w:t> </w:t>
            </w:r>
          </w:p>
        </w:tc>
        <w:tc>
          <w:tcPr>
            <w:tcW w:w="447" w:type="pct"/>
            <w:noWrap/>
            <w:tcMar>
              <w:top w:w="0" w:type="dxa"/>
              <w:left w:w="70" w:type="dxa"/>
              <w:bottom w:w="0" w:type="dxa"/>
              <w:right w:w="70" w:type="dxa"/>
            </w:tcMar>
            <w:vAlign w:val="bottom"/>
          </w:tcPr>
          <w:p w:rsidR="00314FAD" w:rsidRDefault="00314FAD" w:rsidP="00151FA0">
            <w:pPr>
              <w:spacing w:before="0" w:after="0"/>
              <w:jc w:val="right"/>
              <w:rPr>
                <w:rFonts w:ascii="Calibri" w:hAnsi="Calibri"/>
                <w:szCs w:val="20"/>
              </w:rPr>
            </w:pPr>
            <w:r>
              <w:rPr>
                <w:rFonts w:ascii="Calibri" w:hAnsi="Calibri"/>
                <w:szCs w:val="20"/>
              </w:rPr>
              <w:t> </w:t>
            </w:r>
          </w:p>
        </w:tc>
        <w:tc>
          <w:tcPr>
            <w:tcW w:w="580" w:type="pct"/>
            <w:noWrap/>
            <w:tcMar>
              <w:top w:w="0" w:type="dxa"/>
              <w:left w:w="70" w:type="dxa"/>
              <w:bottom w:w="0" w:type="dxa"/>
              <w:right w:w="70" w:type="dxa"/>
            </w:tcMar>
            <w:vAlign w:val="bottom"/>
          </w:tcPr>
          <w:p w:rsidR="00314FAD" w:rsidRDefault="00314FAD" w:rsidP="00151FA0">
            <w:pPr>
              <w:spacing w:before="0" w:after="0"/>
              <w:jc w:val="right"/>
              <w:rPr>
                <w:rFonts w:ascii="Calibri" w:hAnsi="Calibri"/>
                <w:szCs w:val="20"/>
              </w:rPr>
            </w:pPr>
            <w:r>
              <w:rPr>
                <w:rFonts w:ascii="Calibri" w:hAnsi="Calibri"/>
                <w:szCs w:val="20"/>
              </w:rPr>
              <w:t> </w:t>
            </w:r>
          </w:p>
        </w:tc>
        <w:tc>
          <w:tcPr>
            <w:tcW w:w="463" w:type="pct"/>
            <w:noWrap/>
            <w:tcMar>
              <w:top w:w="0" w:type="dxa"/>
              <w:left w:w="70" w:type="dxa"/>
              <w:bottom w:w="0" w:type="dxa"/>
              <w:right w:w="70" w:type="dxa"/>
            </w:tcMar>
            <w:vAlign w:val="bottom"/>
          </w:tcPr>
          <w:p w:rsidR="00314FAD" w:rsidRDefault="00314FAD" w:rsidP="00151FA0">
            <w:pPr>
              <w:spacing w:before="0" w:after="0"/>
              <w:jc w:val="right"/>
              <w:rPr>
                <w:rFonts w:ascii="Calibri" w:hAnsi="Calibri"/>
                <w:szCs w:val="20"/>
              </w:rPr>
            </w:pPr>
            <w:r>
              <w:rPr>
                <w:rFonts w:ascii="Calibri" w:hAnsi="Calibri"/>
                <w:szCs w:val="20"/>
              </w:rPr>
              <w:t> </w:t>
            </w:r>
          </w:p>
        </w:tc>
        <w:tc>
          <w:tcPr>
            <w:tcW w:w="437" w:type="pct"/>
            <w:noWrap/>
            <w:tcMar>
              <w:top w:w="0" w:type="dxa"/>
              <w:left w:w="70" w:type="dxa"/>
              <w:bottom w:w="0" w:type="dxa"/>
              <w:right w:w="70" w:type="dxa"/>
            </w:tcMar>
            <w:vAlign w:val="bottom"/>
          </w:tcPr>
          <w:p w:rsidR="00314FAD" w:rsidRDefault="00314FAD" w:rsidP="00151FA0">
            <w:pPr>
              <w:spacing w:before="0" w:after="0"/>
              <w:jc w:val="right"/>
              <w:rPr>
                <w:rFonts w:ascii="Calibri" w:hAnsi="Calibri"/>
                <w:szCs w:val="20"/>
              </w:rPr>
            </w:pPr>
            <w:r>
              <w:rPr>
                <w:rFonts w:ascii="Calibri" w:hAnsi="Calibri"/>
                <w:szCs w:val="20"/>
              </w:rPr>
              <w:t> </w:t>
            </w:r>
          </w:p>
        </w:tc>
      </w:tr>
      <w:tr w:rsidR="00314FAD" w:rsidTr="0015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079" w:type="pct"/>
            <w:noWrap/>
            <w:tcMar>
              <w:top w:w="0" w:type="dxa"/>
              <w:left w:w="70" w:type="dxa"/>
              <w:bottom w:w="0" w:type="dxa"/>
              <w:right w:w="70" w:type="dxa"/>
            </w:tcMar>
            <w:vAlign w:val="bottom"/>
          </w:tcPr>
          <w:p w:rsidR="00314FAD" w:rsidRPr="00151FA0" w:rsidRDefault="00314FAD" w:rsidP="00151FA0">
            <w:pPr>
              <w:spacing w:before="0" w:after="0"/>
              <w:rPr>
                <w:rFonts w:ascii="Calibri" w:hAnsi="Calibri"/>
                <w:b/>
                <w:sz w:val="28"/>
                <w:szCs w:val="28"/>
              </w:rPr>
            </w:pPr>
            <w:r w:rsidRPr="00151FA0">
              <w:rPr>
                <w:rFonts w:ascii="Calibri" w:hAnsi="Calibri"/>
                <w:b/>
                <w:sz w:val="28"/>
                <w:szCs w:val="28"/>
              </w:rPr>
              <w:t>Št. ogroženih del</w:t>
            </w:r>
            <w:r w:rsidR="00E9623C">
              <w:rPr>
                <w:rFonts w:ascii="Calibri" w:hAnsi="Calibri"/>
                <w:b/>
                <w:sz w:val="28"/>
                <w:szCs w:val="28"/>
              </w:rPr>
              <w:t>.</w:t>
            </w:r>
            <w:r w:rsidRPr="00151FA0">
              <w:rPr>
                <w:rFonts w:ascii="Calibri" w:hAnsi="Calibri"/>
                <w:b/>
                <w:sz w:val="28"/>
                <w:szCs w:val="28"/>
              </w:rPr>
              <w:t xml:space="preserve"> mest (0% olajšava CO2)</w:t>
            </w:r>
          </w:p>
        </w:tc>
        <w:tc>
          <w:tcPr>
            <w:tcW w:w="477" w:type="pct"/>
            <w:noWrap/>
            <w:tcMar>
              <w:top w:w="0" w:type="dxa"/>
              <w:left w:w="70" w:type="dxa"/>
              <w:bottom w:w="0" w:type="dxa"/>
              <w:right w:w="70" w:type="dxa"/>
            </w:tcMar>
            <w:vAlign w:val="bottom"/>
          </w:tcPr>
          <w:p w:rsidR="00314FAD" w:rsidRDefault="00314FAD" w:rsidP="00151FA0">
            <w:pPr>
              <w:spacing w:before="0" w:after="0"/>
              <w:jc w:val="right"/>
              <w:rPr>
                <w:rFonts w:ascii="Calibri" w:hAnsi="Calibri"/>
                <w:szCs w:val="20"/>
              </w:rPr>
            </w:pPr>
            <w:r>
              <w:rPr>
                <w:rFonts w:ascii="Calibri" w:hAnsi="Calibri"/>
                <w:szCs w:val="20"/>
              </w:rPr>
              <w:t> </w:t>
            </w:r>
          </w:p>
        </w:tc>
        <w:tc>
          <w:tcPr>
            <w:tcW w:w="517" w:type="pct"/>
            <w:noWrap/>
            <w:tcMar>
              <w:top w:w="0" w:type="dxa"/>
              <w:left w:w="70" w:type="dxa"/>
              <w:bottom w:w="0" w:type="dxa"/>
              <w:right w:w="70" w:type="dxa"/>
            </w:tcMar>
            <w:vAlign w:val="bottom"/>
          </w:tcPr>
          <w:p w:rsidR="00314FAD" w:rsidRDefault="00314FAD" w:rsidP="00151FA0">
            <w:pPr>
              <w:spacing w:before="0" w:after="0"/>
              <w:jc w:val="right"/>
              <w:rPr>
                <w:rFonts w:ascii="Calibri" w:hAnsi="Calibri"/>
                <w:szCs w:val="20"/>
              </w:rPr>
            </w:pPr>
            <w:r>
              <w:rPr>
                <w:rFonts w:ascii="Calibri" w:hAnsi="Calibri"/>
                <w:szCs w:val="20"/>
              </w:rPr>
              <w:t> </w:t>
            </w:r>
          </w:p>
        </w:tc>
        <w:tc>
          <w:tcPr>
            <w:tcW w:w="447" w:type="pct"/>
            <w:noWrap/>
            <w:tcMar>
              <w:top w:w="0" w:type="dxa"/>
              <w:left w:w="70" w:type="dxa"/>
              <w:bottom w:w="0" w:type="dxa"/>
              <w:right w:w="70" w:type="dxa"/>
            </w:tcMar>
            <w:vAlign w:val="bottom"/>
          </w:tcPr>
          <w:p w:rsidR="00314FAD" w:rsidRDefault="00314FAD" w:rsidP="00151FA0">
            <w:pPr>
              <w:spacing w:before="0" w:after="0"/>
              <w:jc w:val="right"/>
              <w:rPr>
                <w:rFonts w:ascii="Calibri" w:hAnsi="Calibri"/>
                <w:szCs w:val="20"/>
              </w:rPr>
            </w:pPr>
            <w:r>
              <w:rPr>
                <w:rFonts w:ascii="Calibri" w:hAnsi="Calibri"/>
                <w:szCs w:val="20"/>
              </w:rPr>
              <w:t> </w:t>
            </w:r>
          </w:p>
        </w:tc>
        <w:tc>
          <w:tcPr>
            <w:tcW w:w="580" w:type="pct"/>
            <w:noWrap/>
            <w:tcMar>
              <w:top w:w="0" w:type="dxa"/>
              <w:left w:w="70" w:type="dxa"/>
              <w:bottom w:w="0" w:type="dxa"/>
              <w:right w:w="70" w:type="dxa"/>
            </w:tcMar>
            <w:vAlign w:val="bottom"/>
          </w:tcPr>
          <w:p w:rsidR="00314FAD" w:rsidRDefault="00314FAD" w:rsidP="00151FA0">
            <w:pPr>
              <w:spacing w:before="0" w:after="0"/>
              <w:jc w:val="right"/>
              <w:rPr>
                <w:rFonts w:ascii="Calibri" w:hAnsi="Calibri"/>
                <w:szCs w:val="20"/>
              </w:rPr>
            </w:pPr>
            <w:r>
              <w:rPr>
                <w:rFonts w:ascii="Calibri" w:hAnsi="Calibri"/>
                <w:szCs w:val="20"/>
              </w:rPr>
              <w:t> </w:t>
            </w:r>
          </w:p>
        </w:tc>
        <w:tc>
          <w:tcPr>
            <w:tcW w:w="463" w:type="pct"/>
            <w:noWrap/>
            <w:tcMar>
              <w:top w:w="0" w:type="dxa"/>
              <w:left w:w="70" w:type="dxa"/>
              <w:bottom w:w="0" w:type="dxa"/>
              <w:right w:w="70" w:type="dxa"/>
            </w:tcMar>
            <w:vAlign w:val="bottom"/>
          </w:tcPr>
          <w:p w:rsidR="00314FAD" w:rsidRDefault="00314FAD" w:rsidP="00151FA0">
            <w:pPr>
              <w:spacing w:before="0" w:after="0"/>
              <w:jc w:val="right"/>
              <w:rPr>
                <w:rFonts w:ascii="Calibri" w:hAnsi="Calibri"/>
                <w:szCs w:val="20"/>
              </w:rPr>
            </w:pPr>
            <w:r>
              <w:rPr>
                <w:rFonts w:ascii="Calibri" w:hAnsi="Calibri"/>
                <w:szCs w:val="20"/>
              </w:rPr>
              <w:t> </w:t>
            </w:r>
          </w:p>
        </w:tc>
        <w:tc>
          <w:tcPr>
            <w:tcW w:w="437" w:type="pct"/>
            <w:noWrap/>
            <w:tcMar>
              <w:top w:w="0" w:type="dxa"/>
              <w:left w:w="70" w:type="dxa"/>
              <w:bottom w:w="0" w:type="dxa"/>
              <w:right w:w="70" w:type="dxa"/>
            </w:tcMar>
            <w:vAlign w:val="bottom"/>
          </w:tcPr>
          <w:p w:rsidR="00314FAD" w:rsidRDefault="00314FAD" w:rsidP="00151FA0">
            <w:pPr>
              <w:spacing w:before="0" w:after="0"/>
              <w:jc w:val="right"/>
              <w:rPr>
                <w:rFonts w:ascii="Calibri" w:hAnsi="Calibri"/>
                <w:szCs w:val="20"/>
              </w:rPr>
            </w:pPr>
            <w:r>
              <w:rPr>
                <w:rFonts w:ascii="Calibri" w:hAnsi="Calibri"/>
                <w:szCs w:val="20"/>
              </w:rPr>
              <w:t> </w:t>
            </w:r>
          </w:p>
        </w:tc>
      </w:tr>
      <w:tr w:rsidR="00314FAD" w:rsidTr="0015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079" w:type="pct"/>
            <w:noWrap/>
            <w:tcMar>
              <w:top w:w="0" w:type="dxa"/>
              <w:left w:w="70" w:type="dxa"/>
              <w:bottom w:w="0" w:type="dxa"/>
              <w:right w:w="70" w:type="dxa"/>
            </w:tcMar>
            <w:vAlign w:val="bottom"/>
          </w:tcPr>
          <w:p w:rsidR="00314FAD" w:rsidRDefault="00314FAD" w:rsidP="00151FA0">
            <w:pPr>
              <w:spacing w:before="0" w:after="0"/>
              <w:rPr>
                <w:rFonts w:ascii="Calibri" w:hAnsi="Calibri"/>
                <w:szCs w:val="20"/>
              </w:rPr>
            </w:pPr>
            <w:r>
              <w:rPr>
                <w:rFonts w:ascii="Calibri" w:hAnsi="Calibri"/>
                <w:szCs w:val="20"/>
              </w:rPr>
              <w:t>neposredno</w:t>
            </w:r>
          </w:p>
        </w:tc>
        <w:tc>
          <w:tcPr>
            <w:tcW w:w="477" w:type="pct"/>
            <w:noWrap/>
            <w:tcMar>
              <w:top w:w="0" w:type="dxa"/>
              <w:left w:w="70" w:type="dxa"/>
              <w:bottom w:w="0" w:type="dxa"/>
              <w:right w:w="70" w:type="dxa"/>
            </w:tcMar>
            <w:vAlign w:val="bottom"/>
          </w:tcPr>
          <w:p w:rsidR="00314FAD" w:rsidRDefault="00314FAD" w:rsidP="00151FA0">
            <w:pPr>
              <w:spacing w:before="0" w:after="0"/>
              <w:jc w:val="right"/>
              <w:rPr>
                <w:rFonts w:ascii="Calibri" w:hAnsi="Calibri"/>
                <w:szCs w:val="20"/>
              </w:rPr>
            </w:pPr>
            <w:r>
              <w:rPr>
                <w:rFonts w:ascii="Calibri" w:hAnsi="Calibri"/>
                <w:szCs w:val="20"/>
              </w:rPr>
              <w:t>-173</w:t>
            </w:r>
          </w:p>
        </w:tc>
        <w:tc>
          <w:tcPr>
            <w:tcW w:w="517" w:type="pct"/>
            <w:noWrap/>
            <w:tcMar>
              <w:top w:w="0" w:type="dxa"/>
              <w:left w:w="70" w:type="dxa"/>
              <w:bottom w:w="0" w:type="dxa"/>
              <w:right w:w="70" w:type="dxa"/>
            </w:tcMar>
            <w:vAlign w:val="bottom"/>
          </w:tcPr>
          <w:p w:rsidR="00314FAD" w:rsidRDefault="00314FAD" w:rsidP="00151FA0">
            <w:pPr>
              <w:spacing w:before="0" w:after="0"/>
              <w:jc w:val="right"/>
              <w:rPr>
                <w:rFonts w:ascii="Calibri" w:hAnsi="Calibri"/>
                <w:szCs w:val="20"/>
              </w:rPr>
            </w:pPr>
            <w:r>
              <w:rPr>
                <w:rFonts w:ascii="Calibri" w:hAnsi="Calibri"/>
                <w:szCs w:val="20"/>
              </w:rPr>
              <w:t>-370</w:t>
            </w:r>
          </w:p>
        </w:tc>
        <w:tc>
          <w:tcPr>
            <w:tcW w:w="447" w:type="pct"/>
            <w:noWrap/>
            <w:tcMar>
              <w:top w:w="0" w:type="dxa"/>
              <w:left w:w="70" w:type="dxa"/>
              <w:bottom w:w="0" w:type="dxa"/>
              <w:right w:w="70" w:type="dxa"/>
            </w:tcMar>
            <w:vAlign w:val="bottom"/>
          </w:tcPr>
          <w:p w:rsidR="00314FAD" w:rsidRDefault="00314FAD" w:rsidP="00151FA0">
            <w:pPr>
              <w:spacing w:before="0" w:after="0"/>
              <w:jc w:val="right"/>
              <w:rPr>
                <w:rFonts w:ascii="Calibri" w:hAnsi="Calibri"/>
                <w:szCs w:val="20"/>
              </w:rPr>
            </w:pPr>
            <w:r>
              <w:rPr>
                <w:rFonts w:ascii="Calibri" w:hAnsi="Calibri"/>
                <w:szCs w:val="20"/>
              </w:rPr>
              <w:t>-546</w:t>
            </w:r>
          </w:p>
        </w:tc>
        <w:tc>
          <w:tcPr>
            <w:tcW w:w="580" w:type="pct"/>
            <w:noWrap/>
            <w:tcMar>
              <w:top w:w="0" w:type="dxa"/>
              <w:left w:w="70" w:type="dxa"/>
              <w:bottom w:w="0" w:type="dxa"/>
              <w:right w:w="70" w:type="dxa"/>
            </w:tcMar>
            <w:vAlign w:val="bottom"/>
          </w:tcPr>
          <w:p w:rsidR="00314FAD" w:rsidRDefault="00314FAD" w:rsidP="00151FA0">
            <w:pPr>
              <w:spacing w:before="0" w:after="0"/>
              <w:jc w:val="right"/>
              <w:rPr>
                <w:rFonts w:ascii="Calibri" w:hAnsi="Calibri"/>
                <w:szCs w:val="20"/>
              </w:rPr>
            </w:pPr>
            <w:r>
              <w:rPr>
                <w:rFonts w:ascii="Calibri" w:hAnsi="Calibri"/>
                <w:szCs w:val="20"/>
              </w:rPr>
              <w:t>-911</w:t>
            </w:r>
          </w:p>
        </w:tc>
        <w:tc>
          <w:tcPr>
            <w:tcW w:w="463" w:type="pct"/>
            <w:noWrap/>
            <w:tcMar>
              <w:top w:w="0" w:type="dxa"/>
              <w:left w:w="70" w:type="dxa"/>
              <w:bottom w:w="0" w:type="dxa"/>
              <w:right w:w="70" w:type="dxa"/>
            </w:tcMar>
            <w:vAlign w:val="bottom"/>
          </w:tcPr>
          <w:p w:rsidR="00314FAD" w:rsidRDefault="00314FAD" w:rsidP="00151FA0">
            <w:pPr>
              <w:spacing w:before="0" w:after="0"/>
              <w:jc w:val="right"/>
              <w:rPr>
                <w:rFonts w:ascii="Calibri" w:hAnsi="Calibri"/>
                <w:szCs w:val="20"/>
              </w:rPr>
            </w:pPr>
            <w:r>
              <w:rPr>
                <w:rFonts w:ascii="Calibri" w:hAnsi="Calibri"/>
                <w:szCs w:val="20"/>
              </w:rPr>
              <w:t>-650</w:t>
            </w:r>
          </w:p>
        </w:tc>
        <w:tc>
          <w:tcPr>
            <w:tcW w:w="437" w:type="pct"/>
            <w:noWrap/>
            <w:tcMar>
              <w:top w:w="0" w:type="dxa"/>
              <w:left w:w="70" w:type="dxa"/>
              <w:bottom w:w="0" w:type="dxa"/>
              <w:right w:w="70" w:type="dxa"/>
            </w:tcMar>
            <w:vAlign w:val="bottom"/>
          </w:tcPr>
          <w:p w:rsidR="00314FAD" w:rsidRDefault="00314FAD" w:rsidP="00151FA0">
            <w:pPr>
              <w:spacing w:before="0" w:after="0"/>
              <w:jc w:val="right"/>
              <w:rPr>
                <w:rFonts w:ascii="Calibri" w:hAnsi="Calibri"/>
                <w:szCs w:val="20"/>
              </w:rPr>
            </w:pPr>
            <w:r>
              <w:rPr>
                <w:rFonts w:ascii="Calibri" w:hAnsi="Calibri"/>
                <w:szCs w:val="20"/>
              </w:rPr>
              <w:t>-2.649</w:t>
            </w:r>
          </w:p>
        </w:tc>
      </w:tr>
      <w:tr w:rsidR="00314FAD" w:rsidTr="0015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079" w:type="pct"/>
            <w:noWrap/>
            <w:tcMar>
              <w:top w:w="0" w:type="dxa"/>
              <w:left w:w="70" w:type="dxa"/>
              <w:bottom w:w="0" w:type="dxa"/>
              <w:right w:w="70" w:type="dxa"/>
            </w:tcMar>
            <w:vAlign w:val="bottom"/>
          </w:tcPr>
          <w:p w:rsidR="00314FAD" w:rsidRDefault="00314FAD" w:rsidP="00151FA0">
            <w:pPr>
              <w:spacing w:before="0" w:after="0"/>
              <w:rPr>
                <w:rFonts w:ascii="Calibri" w:hAnsi="Calibri"/>
                <w:szCs w:val="20"/>
              </w:rPr>
            </w:pPr>
            <w:r>
              <w:rPr>
                <w:rFonts w:ascii="Calibri" w:hAnsi="Calibri"/>
                <w:szCs w:val="20"/>
              </w:rPr>
              <w:t>posredno</w:t>
            </w:r>
          </w:p>
        </w:tc>
        <w:tc>
          <w:tcPr>
            <w:tcW w:w="477" w:type="pct"/>
            <w:noWrap/>
            <w:tcMar>
              <w:top w:w="0" w:type="dxa"/>
              <w:left w:w="70" w:type="dxa"/>
              <w:bottom w:w="0" w:type="dxa"/>
              <w:right w:w="70" w:type="dxa"/>
            </w:tcMar>
            <w:vAlign w:val="bottom"/>
          </w:tcPr>
          <w:p w:rsidR="00314FAD" w:rsidRDefault="00314FAD" w:rsidP="00151FA0">
            <w:pPr>
              <w:spacing w:before="0" w:after="0"/>
              <w:jc w:val="right"/>
              <w:rPr>
                <w:rFonts w:ascii="Calibri" w:hAnsi="Calibri"/>
                <w:szCs w:val="20"/>
              </w:rPr>
            </w:pPr>
            <w:r>
              <w:rPr>
                <w:rFonts w:ascii="Calibri" w:hAnsi="Calibri"/>
                <w:szCs w:val="20"/>
              </w:rPr>
              <w:t>-1.299</w:t>
            </w:r>
          </w:p>
        </w:tc>
        <w:tc>
          <w:tcPr>
            <w:tcW w:w="517" w:type="pct"/>
            <w:noWrap/>
            <w:tcMar>
              <w:top w:w="0" w:type="dxa"/>
              <w:left w:w="70" w:type="dxa"/>
              <w:bottom w:w="0" w:type="dxa"/>
              <w:right w:w="70" w:type="dxa"/>
            </w:tcMar>
            <w:vAlign w:val="bottom"/>
          </w:tcPr>
          <w:p w:rsidR="00314FAD" w:rsidRDefault="00314FAD" w:rsidP="00151FA0">
            <w:pPr>
              <w:spacing w:before="0" w:after="0"/>
              <w:jc w:val="right"/>
              <w:rPr>
                <w:rFonts w:ascii="Calibri" w:hAnsi="Calibri"/>
                <w:szCs w:val="20"/>
              </w:rPr>
            </w:pPr>
            <w:r>
              <w:rPr>
                <w:rFonts w:ascii="Calibri" w:hAnsi="Calibri"/>
                <w:szCs w:val="20"/>
              </w:rPr>
              <w:t>-2.774</w:t>
            </w:r>
          </w:p>
        </w:tc>
        <w:tc>
          <w:tcPr>
            <w:tcW w:w="447" w:type="pct"/>
            <w:noWrap/>
            <w:tcMar>
              <w:top w:w="0" w:type="dxa"/>
              <w:left w:w="70" w:type="dxa"/>
              <w:bottom w:w="0" w:type="dxa"/>
              <w:right w:w="70" w:type="dxa"/>
            </w:tcMar>
            <w:vAlign w:val="bottom"/>
          </w:tcPr>
          <w:p w:rsidR="00314FAD" w:rsidRDefault="00314FAD" w:rsidP="00151FA0">
            <w:pPr>
              <w:spacing w:before="0" w:after="0"/>
              <w:jc w:val="right"/>
              <w:rPr>
                <w:rFonts w:ascii="Calibri" w:hAnsi="Calibri"/>
                <w:szCs w:val="20"/>
              </w:rPr>
            </w:pPr>
            <w:r>
              <w:rPr>
                <w:rFonts w:ascii="Calibri" w:hAnsi="Calibri"/>
                <w:szCs w:val="20"/>
              </w:rPr>
              <w:t>-4.092</w:t>
            </w:r>
          </w:p>
        </w:tc>
        <w:tc>
          <w:tcPr>
            <w:tcW w:w="580" w:type="pct"/>
            <w:noWrap/>
            <w:tcMar>
              <w:top w:w="0" w:type="dxa"/>
              <w:left w:w="70" w:type="dxa"/>
              <w:bottom w:w="0" w:type="dxa"/>
              <w:right w:w="70" w:type="dxa"/>
            </w:tcMar>
            <w:vAlign w:val="bottom"/>
          </w:tcPr>
          <w:p w:rsidR="00314FAD" w:rsidRDefault="00314FAD" w:rsidP="00151FA0">
            <w:pPr>
              <w:spacing w:before="0" w:after="0"/>
              <w:jc w:val="right"/>
              <w:rPr>
                <w:rFonts w:ascii="Calibri" w:hAnsi="Calibri"/>
                <w:szCs w:val="20"/>
              </w:rPr>
            </w:pPr>
            <w:r>
              <w:rPr>
                <w:rFonts w:ascii="Calibri" w:hAnsi="Calibri"/>
                <w:szCs w:val="20"/>
              </w:rPr>
              <w:t>-6.833</w:t>
            </w:r>
          </w:p>
        </w:tc>
        <w:tc>
          <w:tcPr>
            <w:tcW w:w="463" w:type="pct"/>
            <w:noWrap/>
            <w:tcMar>
              <w:top w:w="0" w:type="dxa"/>
              <w:left w:w="70" w:type="dxa"/>
              <w:bottom w:w="0" w:type="dxa"/>
              <w:right w:w="70" w:type="dxa"/>
            </w:tcMar>
            <w:vAlign w:val="bottom"/>
          </w:tcPr>
          <w:p w:rsidR="00314FAD" w:rsidRDefault="00314FAD" w:rsidP="00151FA0">
            <w:pPr>
              <w:spacing w:before="0" w:after="0"/>
              <w:jc w:val="right"/>
              <w:rPr>
                <w:rFonts w:ascii="Calibri" w:hAnsi="Calibri"/>
                <w:szCs w:val="20"/>
              </w:rPr>
            </w:pPr>
            <w:r>
              <w:rPr>
                <w:rFonts w:ascii="Calibri" w:hAnsi="Calibri"/>
                <w:szCs w:val="20"/>
              </w:rPr>
              <w:t>-4.873</w:t>
            </w:r>
          </w:p>
        </w:tc>
        <w:tc>
          <w:tcPr>
            <w:tcW w:w="437" w:type="pct"/>
            <w:noWrap/>
            <w:tcMar>
              <w:top w:w="0" w:type="dxa"/>
              <w:left w:w="70" w:type="dxa"/>
              <w:bottom w:w="0" w:type="dxa"/>
              <w:right w:w="70" w:type="dxa"/>
            </w:tcMar>
            <w:vAlign w:val="bottom"/>
          </w:tcPr>
          <w:p w:rsidR="00314FAD" w:rsidRDefault="00314FAD" w:rsidP="00151FA0">
            <w:pPr>
              <w:spacing w:before="0" w:after="0"/>
              <w:jc w:val="right"/>
              <w:rPr>
                <w:rFonts w:ascii="Calibri" w:hAnsi="Calibri"/>
                <w:szCs w:val="20"/>
              </w:rPr>
            </w:pPr>
            <w:r>
              <w:rPr>
                <w:rFonts w:ascii="Calibri" w:hAnsi="Calibri"/>
                <w:szCs w:val="20"/>
              </w:rPr>
              <w:t>-19.870</w:t>
            </w:r>
          </w:p>
        </w:tc>
      </w:tr>
      <w:tr w:rsidR="00314FAD" w:rsidRPr="00151FA0" w:rsidTr="0015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079" w:type="pct"/>
            <w:noWrap/>
            <w:tcMar>
              <w:top w:w="0" w:type="dxa"/>
              <w:left w:w="70" w:type="dxa"/>
              <w:bottom w:w="0" w:type="dxa"/>
              <w:right w:w="70" w:type="dxa"/>
            </w:tcMar>
            <w:vAlign w:val="bottom"/>
          </w:tcPr>
          <w:p w:rsidR="00314FAD" w:rsidRPr="00151FA0" w:rsidRDefault="00314FAD" w:rsidP="00151FA0">
            <w:pPr>
              <w:spacing w:before="0" w:after="0"/>
              <w:rPr>
                <w:rFonts w:ascii="Calibri" w:hAnsi="Calibri"/>
                <w:szCs w:val="20"/>
              </w:rPr>
            </w:pPr>
            <w:r w:rsidRPr="00151FA0">
              <w:rPr>
                <w:rFonts w:ascii="Calibri" w:hAnsi="Calibri"/>
                <w:szCs w:val="20"/>
              </w:rPr>
              <w:t>SKUPAJ</w:t>
            </w:r>
          </w:p>
        </w:tc>
        <w:tc>
          <w:tcPr>
            <w:tcW w:w="477" w:type="pct"/>
            <w:noWrap/>
            <w:tcMar>
              <w:top w:w="0" w:type="dxa"/>
              <w:left w:w="70" w:type="dxa"/>
              <w:bottom w:w="0" w:type="dxa"/>
              <w:right w:w="70" w:type="dxa"/>
            </w:tcMar>
            <w:vAlign w:val="bottom"/>
          </w:tcPr>
          <w:p w:rsidR="00314FAD" w:rsidRPr="00151FA0" w:rsidRDefault="00314FAD" w:rsidP="00151FA0">
            <w:pPr>
              <w:spacing w:before="0" w:after="0"/>
              <w:jc w:val="right"/>
              <w:rPr>
                <w:rFonts w:ascii="Calibri" w:hAnsi="Calibri"/>
                <w:szCs w:val="20"/>
              </w:rPr>
            </w:pPr>
            <w:r w:rsidRPr="00151FA0">
              <w:rPr>
                <w:rFonts w:ascii="Calibri" w:hAnsi="Calibri"/>
                <w:szCs w:val="20"/>
              </w:rPr>
              <w:t>-1.472</w:t>
            </w:r>
          </w:p>
        </w:tc>
        <w:tc>
          <w:tcPr>
            <w:tcW w:w="517" w:type="pct"/>
            <w:noWrap/>
            <w:tcMar>
              <w:top w:w="0" w:type="dxa"/>
              <w:left w:w="70" w:type="dxa"/>
              <w:bottom w:w="0" w:type="dxa"/>
              <w:right w:w="70" w:type="dxa"/>
            </w:tcMar>
            <w:vAlign w:val="bottom"/>
          </w:tcPr>
          <w:p w:rsidR="00314FAD" w:rsidRPr="00151FA0" w:rsidRDefault="00314FAD" w:rsidP="00151FA0">
            <w:pPr>
              <w:spacing w:before="0" w:after="0"/>
              <w:jc w:val="right"/>
              <w:rPr>
                <w:rFonts w:ascii="Calibri" w:hAnsi="Calibri"/>
                <w:szCs w:val="20"/>
              </w:rPr>
            </w:pPr>
            <w:r w:rsidRPr="00151FA0">
              <w:rPr>
                <w:rFonts w:ascii="Calibri" w:hAnsi="Calibri"/>
                <w:szCs w:val="20"/>
              </w:rPr>
              <w:t>-3.144</w:t>
            </w:r>
          </w:p>
        </w:tc>
        <w:tc>
          <w:tcPr>
            <w:tcW w:w="447" w:type="pct"/>
            <w:noWrap/>
            <w:tcMar>
              <w:top w:w="0" w:type="dxa"/>
              <w:left w:w="70" w:type="dxa"/>
              <w:bottom w:w="0" w:type="dxa"/>
              <w:right w:w="70" w:type="dxa"/>
            </w:tcMar>
            <w:vAlign w:val="bottom"/>
          </w:tcPr>
          <w:p w:rsidR="00314FAD" w:rsidRPr="00151FA0" w:rsidRDefault="00314FAD" w:rsidP="00151FA0">
            <w:pPr>
              <w:spacing w:before="0" w:after="0"/>
              <w:jc w:val="right"/>
              <w:rPr>
                <w:rFonts w:ascii="Calibri" w:hAnsi="Calibri"/>
                <w:szCs w:val="20"/>
              </w:rPr>
            </w:pPr>
            <w:r w:rsidRPr="00151FA0">
              <w:rPr>
                <w:rFonts w:ascii="Calibri" w:hAnsi="Calibri"/>
                <w:szCs w:val="20"/>
              </w:rPr>
              <w:t>-4.637</w:t>
            </w:r>
          </w:p>
        </w:tc>
        <w:tc>
          <w:tcPr>
            <w:tcW w:w="580" w:type="pct"/>
            <w:noWrap/>
            <w:tcMar>
              <w:top w:w="0" w:type="dxa"/>
              <w:left w:w="70" w:type="dxa"/>
              <w:bottom w:w="0" w:type="dxa"/>
              <w:right w:w="70" w:type="dxa"/>
            </w:tcMar>
            <w:vAlign w:val="bottom"/>
          </w:tcPr>
          <w:p w:rsidR="00314FAD" w:rsidRPr="00151FA0" w:rsidRDefault="00314FAD" w:rsidP="00151FA0">
            <w:pPr>
              <w:spacing w:before="0" w:after="0"/>
              <w:jc w:val="right"/>
              <w:rPr>
                <w:rFonts w:ascii="Calibri" w:hAnsi="Calibri"/>
                <w:szCs w:val="20"/>
              </w:rPr>
            </w:pPr>
            <w:r w:rsidRPr="00151FA0">
              <w:rPr>
                <w:rFonts w:ascii="Calibri" w:hAnsi="Calibri"/>
                <w:szCs w:val="20"/>
              </w:rPr>
              <w:t>-7.744</w:t>
            </w:r>
          </w:p>
        </w:tc>
        <w:tc>
          <w:tcPr>
            <w:tcW w:w="463" w:type="pct"/>
            <w:noWrap/>
            <w:tcMar>
              <w:top w:w="0" w:type="dxa"/>
              <w:left w:w="70" w:type="dxa"/>
              <w:bottom w:w="0" w:type="dxa"/>
              <w:right w:w="70" w:type="dxa"/>
            </w:tcMar>
            <w:vAlign w:val="bottom"/>
          </w:tcPr>
          <w:p w:rsidR="00314FAD" w:rsidRPr="00151FA0" w:rsidRDefault="00314FAD" w:rsidP="00151FA0">
            <w:pPr>
              <w:spacing w:before="0" w:after="0"/>
              <w:jc w:val="right"/>
              <w:rPr>
                <w:rFonts w:ascii="Calibri" w:hAnsi="Calibri"/>
                <w:szCs w:val="20"/>
              </w:rPr>
            </w:pPr>
            <w:r w:rsidRPr="00151FA0">
              <w:rPr>
                <w:rFonts w:ascii="Calibri" w:hAnsi="Calibri"/>
                <w:szCs w:val="20"/>
              </w:rPr>
              <w:t>-5.522</w:t>
            </w:r>
          </w:p>
        </w:tc>
        <w:tc>
          <w:tcPr>
            <w:tcW w:w="437" w:type="pct"/>
            <w:noWrap/>
            <w:tcMar>
              <w:top w:w="0" w:type="dxa"/>
              <w:left w:w="70" w:type="dxa"/>
              <w:bottom w:w="0" w:type="dxa"/>
              <w:right w:w="70" w:type="dxa"/>
            </w:tcMar>
            <w:vAlign w:val="bottom"/>
          </w:tcPr>
          <w:p w:rsidR="00314FAD" w:rsidRPr="00151FA0" w:rsidRDefault="00314FAD" w:rsidP="00151FA0">
            <w:pPr>
              <w:spacing w:before="0" w:after="0"/>
              <w:jc w:val="right"/>
              <w:rPr>
                <w:rFonts w:ascii="Calibri" w:hAnsi="Calibri"/>
                <w:szCs w:val="20"/>
              </w:rPr>
            </w:pPr>
            <w:r w:rsidRPr="00151FA0">
              <w:rPr>
                <w:rFonts w:ascii="Calibri" w:hAnsi="Calibri"/>
                <w:szCs w:val="20"/>
              </w:rPr>
              <w:t>-22.519</w:t>
            </w:r>
          </w:p>
        </w:tc>
      </w:tr>
      <w:tr w:rsidR="00314FAD" w:rsidRPr="00151FA0" w:rsidTr="0015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079" w:type="pct"/>
            <w:noWrap/>
            <w:tcMar>
              <w:top w:w="0" w:type="dxa"/>
              <w:left w:w="70" w:type="dxa"/>
              <w:bottom w:w="0" w:type="dxa"/>
              <w:right w:w="70" w:type="dxa"/>
            </w:tcMar>
            <w:vAlign w:val="bottom"/>
          </w:tcPr>
          <w:p w:rsidR="00314FAD" w:rsidRPr="00151FA0" w:rsidRDefault="00314FAD" w:rsidP="00151FA0">
            <w:pPr>
              <w:spacing w:before="0" w:after="0"/>
              <w:rPr>
                <w:rFonts w:ascii="Calibri" w:hAnsi="Calibri"/>
                <w:szCs w:val="20"/>
              </w:rPr>
            </w:pPr>
            <w:r w:rsidRPr="00151FA0">
              <w:rPr>
                <w:rFonts w:ascii="Calibri" w:hAnsi="Calibri"/>
                <w:szCs w:val="20"/>
              </w:rPr>
              <w:t> </w:t>
            </w:r>
          </w:p>
        </w:tc>
        <w:tc>
          <w:tcPr>
            <w:tcW w:w="477" w:type="pct"/>
            <w:noWrap/>
            <w:tcMar>
              <w:top w:w="0" w:type="dxa"/>
              <w:left w:w="70" w:type="dxa"/>
              <w:bottom w:w="0" w:type="dxa"/>
              <w:right w:w="70" w:type="dxa"/>
            </w:tcMar>
            <w:vAlign w:val="bottom"/>
          </w:tcPr>
          <w:p w:rsidR="00314FAD" w:rsidRPr="00151FA0" w:rsidRDefault="00314FAD" w:rsidP="00151FA0">
            <w:pPr>
              <w:spacing w:before="0" w:after="0"/>
              <w:jc w:val="right"/>
              <w:rPr>
                <w:rFonts w:ascii="Calibri" w:hAnsi="Calibri"/>
                <w:szCs w:val="20"/>
              </w:rPr>
            </w:pPr>
            <w:r w:rsidRPr="00151FA0">
              <w:rPr>
                <w:rFonts w:ascii="Calibri" w:hAnsi="Calibri"/>
                <w:szCs w:val="20"/>
              </w:rPr>
              <w:t> </w:t>
            </w:r>
          </w:p>
        </w:tc>
        <w:tc>
          <w:tcPr>
            <w:tcW w:w="517" w:type="pct"/>
            <w:noWrap/>
            <w:tcMar>
              <w:top w:w="0" w:type="dxa"/>
              <w:left w:w="70" w:type="dxa"/>
              <w:bottom w:w="0" w:type="dxa"/>
              <w:right w:w="70" w:type="dxa"/>
            </w:tcMar>
            <w:vAlign w:val="bottom"/>
          </w:tcPr>
          <w:p w:rsidR="00314FAD" w:rsidRPr="00151FA0" w:rsidRDefault="00314FAD" w:rsidP="00151FA0">
            <w:pPr>
              <w:spacing w:before="0" w:after="0"/>
              <w:jc w:val="right"/>
              <w:rPr>
                <w:rFonts w:ascii="Calibri" w:hAnsi="Calibri"/>
                <w:szCs w:val="20"/>
              </w:rPr>
            </w:pPr>
            <w:r w:rsidRPr="00151FA0">
              <w:rPr>
                <w:rFonts w:ascii="Calibri" w:hAnsi="Calibri"/>
                <w:szCs w:val="20"/>
              </w:rPr>
              <w:t> </w:t>
            </w:r>
          </w:p>
        </w:tc>
        <w:tc>
          <w:tcPr>
            <w:tcW w:w="447" w:type="pct"/>
            <w:noWrap/>
            <w:tcMar>
              <w:top w:w="0" w:type="dxa"/>
              <w:left w:w="70" w:type="dxa"/>
              <w:bottom w:w="0" w:type="dxa"/>
              <w:right w:w="70" w:type="dxa"/>
            </w:tcMar>
            <w:vAlign w:val="bottom"/>
          </w:tcPr>
          <w:p w:rsidR="00314FAD" w:rsidRPr="00151FA0" w:rsidRDefault="00314FAD" w:rsidP="00151FA0">
            <w:pPr>
              <w:spacing w:before="0" w:after="0"/>
              <w:jc w:val="right"/>
              <w:rPr>
                <w:rFonts w:ascii="Calibri" w:hAnsi="Calibri"/>
                <w:szCs w:val="20"/>
              </w:rPr>
            </w:pPr>
            <w:r w:rsidRPr="00151FA0">
              <w:rPr>
                <w:rFonts w:ascii="Calibri" w:hAnsi="Calibri"/>
                <w:szCs w:val="20"/>
              </w:rPr>
              <w:t> </w:t>
            </w:r>
          </w:p>
        </w:tc>
        <w:tc>
          <w:tcPr>
            <w:tcW w:w="580" w:type="pct"/>
            <w:noWrap/>
            <w:tcMar>
              <w:top w:w="0" w:type="dxa"/>
              <w:left w:w="70" w:type="dxa"/>
              <w:bottom w:w="0" w:type="dxa"/>
              <w:right w:w="70" w:type="dxa"/>
            </w:tcMar>
            <w:vAlign w:val="bottom"/>
          </w:tcPr>
          <w:p w:rsidR="00314FAD" w:rsidRPr="00151FA0" w:rsidRDefault="00314FAD" w:rsidP="00151FA0">
            <w:pPr>
              <w:spacing w:before="0" w:after="0"/>
              <w:jc w:val="right"/>
              <w:rPr>
                <w:rFonts w:ascii="Calibri" w:hAnsi="Calibri"/>
                <w:szCs w:val="20"/>
              </w:rPr>
            </w:pPr>
            <w:r w:rsidRPr="00151FA0">
              <w:rPr>
                <w:rFonts w:ascii="Calibri" w:hAnsi="Calibri"/>
                <w:szCs w:val="20"/>
              </w:rPr>
              <w:t> </w:t>
            </w:r>
          </w:p>
        </w:tc>
        <w:tc>
          <w:tcPr>
            <w:tcW w:w="463" w:type="pct"/>
            <w:noWrap/>
            <w:tcMar>
              <w:top w:w="0" w:type="dxa"/>
              <w:left w:w="70" w:type="dxa"/>
              <w:bottom w:w="0" w:type="dxa"/>
              <w:right w:w="70" w:type="dxa"/>
            </w:tcMar>
            <w:vAlign w:val="bottom"/>
          </w:tcPr>
          <w:p w:rsidR="00314FAD" w:rsidRPr="00151FA0" w:rsidRDefault="00314FAD" w:rsidP="00151FA0">
            <w:pPr>
              <w:spacing w:before="0" w:after="0"/>
              <w:jc w:val="right"/>
              <w:rPr>
                <w:rFonts w:ascii="Calibri" w:hAnsi="Calibri"/>
                <w:szCs w:val="20"/>
              </w:rPr>
            </w:pPr>
            <w:r w:rsidRPr="00151FA0">
              <w:rPr>
                <w:rFonts w:ascii="Calibri" w:hAnsi="Calibri"/>
                <w:szCs w:val="20"/>
              </w:rPr>
              <w:t> </w:t>
            </w:r>
          </w:p>
        </w:tc>
        <w:tc>
          <w:tcPr>
            <w:tcW w:w="437" w:type="pct"/>
            <w:noWrap/>
            <w:tcMar>
              <w:top w:w="0" w:type="dxa"/>
              <w:left w:w="70" w:type="dxa"/>
              <w:bottom w:w="0" w:type="dxa"/>
              <w:right w:w="70" w:type="dxa"/>
            </w:tcMar>
            <w:vAlign w:val="bottom"/>
          </w:tcPr>
          <w:p w:rsidR="00314FAD" w:rsidRDefault="00314FAD" w:rsidP="00151FA0">
            <w:pPr>
              <w:spacing w:before="0" w:after="0"/>
              <w:jc w:val="right"/>
              <w:rPr>
                <w:rFonts w:ascii="Calibri" w:hAnsi="Calibri"/>
                <w:szCs w:val="20"/>
              </w:rPr>
            </w:pPr>
            <w:r>
              <w:rPr>
                <w:rFonts w:ascii="Calibri" w:hAnsi="Calibri"/>
                <w:szCs w:val="20"/>
              </w:rPr>
              <w:t> </w:t>
            </w:r>
          </w:p>
        </w:tc>
      </w:tr>
      <w:tr w:rsidR="00314FAD" w:rsidRPr="00151FA0" w:rsidTr="0015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079" w:type="pct"/>
            <w:noWrap/>
            <w:tcMar>
              <w:top w:w="0" w:type="dxa"/>
              <w:left w:w="70" w:type="dxa"/>
              <w:bottom w:w="0" w:type="dxa"/>
              <w:right w:w="70" w:type="dxa"/>
            </w:tcMar>
            <w:vAlign w:val="bottom"/>
          </w:tcPr>
          <w:p w:rsidR="00314FAD" w:rsidRDefault="00314FAD" w:rsidP="00151FA0">
            <w:pPr>
              <w:spacing w:before="0" w:after="0"/>
              <w:rPr>
                <w:rFonts w:ascii="Calibri" w:hAnsi="Calibri"/>
                <w:szCs w:val="20"/>
              </w:rPr>
            </w:pPr>
            <w:r>
              <w:rPr>
                <w:rFonts w:ascii="Calibri" w:hAnsi="Calibri"/>
                <w:szCs w:val="20"/>
              </w:rPr>
              <w:t>MULTIPLOKATOR</w:t>
            </w:r>
          </w:p>
        </w:tc>
        <w:tc>
          <w:tcPr>
            <w:tcW w:w="477" w:type="pct"/>
            <w:noWrap/>
            <w:tcMar>
              <w:top w:w="0" w:type="dxa"/>
              <w:left w:w="70" w:type="dxa"/>
              <w:bottom w:w="0" w:type="dxa"/>
              <w:right w:w="70" w:type="dxa"/>
            </w:tcMar>
            <w:vAlign w:val="bottom"/>
          </w:tcPr>
          <w:p w:rsidR="00314FAD" w:rsidRDefault="00314FAD" w:rsidP="00151FA0">
            <w:pPr>
              <w:spacing w:before="0" w:after="0"/>
              <w:jc w:val="right"/>
              <w:rPr>
                <w:rFonts w:ascii="Calibri" w:hAnsi="Calibri"/>
                <w:szCs w:val="20"/>
              </w:rPr>
            </w:pPr>
            <w:r>
              <w:rPr>
                <w:rFonts w:ascii="Calibri" w:hAnsi="Calibri"/>
                <w:szCs w:val="20"/>
              </w:rPr>
              <w:t>7,5</w:t>
            </w:r>
          </w:p>
        </w:tc>
        <w:tc>
          <w:tcPr>
            <w:tcW w:w="517" w:type="pct"/>
            <w:noWrap/>
            <w:tcMar>
              <w:top w:w="0" w:type="dxa"/>
              <w:left w:w="70" w:type="dxa"/>
              <w:bottom w:w="0" w:type="dxa"/>
              <w:right w:w="70" w:type="dxa"/>
            </w:tcMar>
            <w:vAlign w:val="bottom"/>
          </w:tcPr>
          <w:p w:rsidR="00314FAD" w:rsidRPr="00151FA0" w:rsidRDefault="00314FAD" w:rsidP="00151FA0">
            <w:pPr>
              <w:spacing w:before="0" w:after="0"/>
              <w:jc w:val="right"/>
              <w:rPr>
                <w:rFonts w:ascii="Calibri" w:hAnsi="Calibri"/>
                <w:szCs w:val="20"/>
              </w:rPr>
            </w:pPr>
            <w:r w:rsidRPr="00151FA0">
              <w:rPr>
                <w:rFonts w:ascii="Calibri" w:hAnsi="Calibri"/>
                <w:szCs w:val="20"/>
              </w:rPr>
              <w:t> </w:t>
            </w:r>
          </w:p>
        </w:tc>
        <w:tc>
          <w:tcPr>
            <w:tcW w:w="447" w:type="pct"/>
            <w:noWrap/>
            <w:tcMar>
              <w:top w:w="0" w:type="dxa"/>
              <w:left w:w="70" w:type="dxa"/>
              <w:bottom w:w="0" w:type="dxa"/>
              <w:right w:w="70" w:type="dxa"/>
            </w:tcMar>
            <w:vAlign w:val="bottom"/>
          </w:tcPr>
          <w:p w:rsidR="00314FAD" w:rsidRPr="00151FA0" w:rsidRDefault="00314FAD" w:rsidP="00151FA0">
            <w:pPr>
              <w:spacing w:before="0" w:after="0"/>
              <w:jc w:val="right"/>
              <w:rPr>
                <w:rFonts w:ascii="Calibri" w:hAnsi="Calibri"/>
                <w:szCs w:val="20"/>
              </w:rPr>
            </w:pPr>
            <w:r w:rsidRPr="00151FA0">
              <w:rPr>
                <w:rFonts w:ascii="Calibri" w:hAnsi="Calibri"/>
                <w:szCs w:val="20"/>
              </w:rPr>
              <w:t> </w:t>
            </w:r>
          </w:p>
        </w:tc>
        <w:tc>
          <w:tcPr>
            <w:tcW w:w="580" w:type="pct"/>
            <w:noWrap/>
            <w:tcMar>
              <w:top w:w="0" w:type="dxa"/>
              <w:left w:w="70" w:type="dxa"/>
              <w:bottom w:w="0" w:type="dxa"/>
              <w:right w:w="70" w:type="dxa"/>
            </w:tcMar>
            <w:vAlign w:val="bottom"/>
          </w:tcPr>
          <w:p w:rsidR="00314FAD" w:rsidRPr="00151FA0" w:rsidRDefault="00314FAD" w:rsidP="00151FA0">
            <w:pPr>
              <w:spacing w:before="0" w:after="0"/>
              <w:jc w:val="right"/>
              <w:rPr>
                <w:rFonts w:ascii="Calibri" w:hAnsi="Calibri"/>
                <w:szCs w:val="20"/>
              </w:rPr>
            </w:pPr>
            <w:r w:rsidRPr="00151FA0">
              <w:rPr>
                <w:rFonts w:ascii="Calibri" w:hAnsi="Calibri"/>
                <w:szCs w:val="20"/>
              </w:rPr>
              <w:t> </w:t>
            </w:r>
          </w:p>
        </w:tc>
        <w:tc>
          <w:tcPr>
            <w:tcW w:w="463" w:type="pct"/>
            <w:noWrap/>
            <w:tcMar>
              <w:top w:w="0" w:type="dxa"/>
              <w:left w:w="70" w:type="dxa"/>
              <w:bottom w:w="0" w:type="dxa"/>
              <w:right w:w="70" w:type="dxa"/>
            </w:tcMar>
            <w:vAlign w:val="bottom"/>
          </w:tcPr>
          <w:p w:rsidR="00314FAD" w:rsidRPr="00151FA0" w:rsidRDefault="00314FAD" w:rsidP="00151FA0">
            <w:pPr>
              <w:spacing w:before="0" w:after="0"/>
              <w:jc w:val="right"/>
              <w:rPr>
                <w:rFonts w:ascii="Calibri" w:hAnsi="Calibri"/>
                <w:szCs w:val="20"/>
              </w:rPr>
            </w:pPr>
            <w:r w:rsidRPr="00151FA0">
              <w:rPr>
                <w:rFonts w:ascii="Calibri" w:hAnsi="Calibri"/>
                <w:szCs w:val="20"/>
              </w:rPr>
              <w:t> </w:t>
            </w:r>
          </w:p>
        </w:tc>
        <w:tc>
          <w:tcPr>
            <w:tcW w:w="437" w:type="pct"/>
            <w:noWrap/>
            <w:tcMar>
              <w:top w:w="0" w:type="dxa"/>
              <w:left w:w="70" w:type="dxa"/>
              <w:bottom w:w="0" w:type="dxa"/>
              <w:right w:w="70" w:type="dxa"/>
            </w:tcMar>
            <w:vAlign w:val="bottom"/>
          </w:tcPr>
          <w:p w:rsidR="00314FAD" w:rsidRPr="00151FA0" w:rsidRDefault="00314FAD" w:rsidP="00151FA0">
            <w:pPr>
              <w:spacing w:before="0" w:after="0"/>
              <w:jc w:val="right"/>
              <w:rPr>
                <w:rFonts w:ascii="Calibri" w:hAnsi="Calibri"/>
                <w:szCs w:val="20"/>
              </w:rPr>
            </w:pPr>
            <w:r w:rsidRPr="00151FA0">
              <w:rPr>
                <w:rFonts w:ascii="Calibri" w:hAnsi="Calibri"/>
                <w:szCs w:val="20"/>
              </w:rPr>
              <w:t> </w:t>
            </w:r>
          </w:p>
        </w:tc>
      </w:tr>
    </w:tbl>
    <w:p w:rsidR="00314FAD" w:rsidRPr="00151FA0" w:rsidRDefault="00314FAD" w:rsidP="00151FA0">
      <w:pPr>
        <w:spacing w:before="0" w:after="0"/>
        <w:rPr>
          <w:rFonts w:ascii="Calibri" w:hAnsi="Calibri"/>
          <w:szCs w:val="20"/>
        </w:rPr>
      </w:pPr>
    </w:p>
    <w:p w:rsidR="00314FAD" w:rsidRPr="001F67D3" w:rsidRDefault="00314FAD" w:rsidP="00BC4B62">
      <w:pPr>
        <w:rPr>
          <w:rFonts w:ascii="Calibri" w:hAnsi="Calibri"/>
          <w:kern w:val="22"/>
          <w:sz w:val="22"/>
          <w:szCs w:val="22"/>
        </w:rPr>
      </w:pPr>
      <w:r w:rsidRPr="001F67D3">
        <w:rPr>
          <w:rFonts w:ascii="Calibri" w:hAnsi="Calibri"/>
          <w:kern w:val="22"/>
          <w:sz w:val="22"/>
          <w:szCs w:val="22"/>
        </w:rPr>
        <w:t>DM-delovno mesto</w:t>
      </w:r>
    </w:p>
    <w:sectPr w:rsidR="00314FAD" w:rsidRPr="001F67D3" w:rsidSect="00D34E6F">
      <w:endnotePr>
        <w:numFmt w:val="decimal"/>
      </w:endnotePr>
      <w:pgSz w:w="16838" w:h="11906" w:orient="landscape"/>
      <w:pgMar w:top="1418" w:right="1701" w:bottom="1701" w:left="1418" w:header="425" w:footer="27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4C9" w:rsidRDefault="007044C9" w:rsidP="00ED632A">
      <w:r>
        <w:separator/>
      </w:r>
    </w:p>
  </w:endnote>
  <w:endnote w:type="continuationSeparator" w:id="0">
    <w:p w:rsidR="007044C9" w:rsidRDefault="007044C9" w:rsidP="00E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FAD" w:rsidRDefault="00314FAD" w:rsidP="004B2FE3">
    <w:pPr>
      <w:pStyle w:val="Noga"/>
      <w:ind w:right="-1135"/>
      <w:jc w:val="right"/>
    </w:pPr>
    <w:r w:rsidRPr="00675AAE">
      <w:t xml:space="preserve">str. </w:t>
    </w:r>
    <w:r w:rsidRPr="00675AAE">
      <w:rPr>
        <w:rStyle w:val="tevilkastrani"/>
        <w:rFonts w:cs="Mangal"/>
      </w:rPr>
      <w:fldChar w:fldCharType="begin"/>
    </w:r>
    <w:r w:rsidRPr="00675AAE">
      <w:rPr>
        <w:rStyle w:val="tevilkastrani"/>
        <w:rFonts w:cs="Mangal"/>
      </w:rPr>
      <w:instrText xml:space="preserve">PAGE </w:instrText>
    </w:r>
    <w:r w:rsidRPr="00675AAE">
      <w:rPr>
        <w:rStyle w:val="tevilkastrani"/>
        <w:rFonts w:cs="Mangal"/>
      </w:rPr>
      <w:fldChar w:fldCharType="separate"/>
    </w:r>
    <w:r w:rsidR="00F95C64">
      <w:rPr>
        <w:rStyle w:val="tevilkastrani"/>
        <w:rFonts w:cs="Mangal"/>
        <w:noProof/>
      </w:rPr>
      <w:t>3</w:t>
    </w:r>
    <w:r w:rsidRPr="00675AAE">
      <w:rPr>
        <w:rStyle w:val="tevilkastrani"/>
        <w:rFonts w:cs="Mangal"/>
      </w:rPr>
      <w:fldChar w:fldCharType="end"/>
    </w:r>
  </w:p>
  <w:p w:rsidR="00314FAD" w:rsidRDefault="00314FAD" w:rsidP="004B2FE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4C9" w:rsidRDefault="007044C9" w:rsidP="00ED632A">
      <w:r>
        <w:separator/>
      </w:r>
    </w:p>
  </w:footnote>
  <w:footnote w:type="continuationSeparator" w:id="0">
    <w:p w:rsidR="007044C9" w:rsidRDefault="007044C9" w:rsidP="00ED632A">
      <w:r>
        <w:continuationSeparator/>
      </w:r>
    </w:p>
  </w:footnote>
  <w:footnote w:id="1">
    <w:p w:rsidR="00314FAD" w:rsidRDefault="00314FAD" w:rsidP="00507F54">
      <w:pPr>
        <w:pStyle w:val="Golobesedilo"/>
      </w:pPr>
      <w:r>
        <w:rPr>
          <w:rStyle w:val="Sprotnaopomba-sklic"/>
          <w:rFonts w:cs="Consolas"/>
        </w:rPr>
        <w:footnoteRef/>
      </w:r>
      <w:hyperlink r:id="rId1" w:history="1">
        <w:r>
          <w:rPr>
            <w:rStyle w:val="Hiperpovezava"/>
          </w:rPr>
          <w:t>http://www.europarl.europa.eu/sides/getDoc.do?type=TA&amp;reference=P7-TA-2012-0136&amp;language=SL&amp;ring=A7-2012-0052</w:t>
        </w:r>
      </w:hyperlink>
    </w:p>
    <w:p w:rsidR="00314FAD" w:rsidRDefault="00314FAD" w:rsidP="00507F54">
      <w:pPr>
        <w:pStyle w:val="Golobesedilo"/>
      </w:pPr>
    </w:p>
  </w:footnote>
  <w:footnote w:id="2">
    <w:p w:rsidR="00314FAD" w:rsidRDefault="00314FAD" w:rsidP="007D31F3">
      <w:pPr>
        <w:pStyle w:val="Sprotnaopomba-besedilo"/>
      </w:pPr>
      <w:r>
        <w:rPr>
          <w:rStyle w:val="Sprotnaopomba-sklic"/>
          <w:rFonts w:cs="Mangal"/>
        </w:rPr>
        <w:footnoteRef/>
      </w:r>
      <w:r>
        <w:t>Faktor: 7,5 - http://www.cepi.org/node/18230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FAD" w:rsidRDefault="00F95C64" w:rsidP="004B2FE3">
    <w:pPr>
      <w:pStyle w:val="Glava"/>
      <w:ind w:left="-1134"/>
      <w:jc w:val="left"/>
    </w:pPr>
    <w:r>
      <w:rPr>
        <w:noProof/>
        <w:lang w:val="sl-SI" w:eastAsia="sl-SI" w:bidi="ar-SA"/>
      </w:rPr>
      <w:drawing>
        <wp:inline distT="0" distB="0" distL="0" distR="0">
          <wp:extent cx="923925" cy="476250"/>
          <wp:effectExtent l="0" t="0" r="9525" b="0"/>
          <wp:docPr id="3" name="Slika 8" descr="logo_gzs_S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logo_gzs_S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76250"/>
                  </a:xfrm>
                  <a:prstGeom prst="rect">
                    <a:avLst/>
                  </a:prstGeom>
                  <a:noFill/>
                  <a:ln>
                    <a:noFill/>
                  </a:ln>
                </pic:spPr>
              </pic:pic>
            </a:graphicData>
          </a:graphic>
        </wp:inline>
      </w:drawing>
    </w:r>
  </w:p>
  <w:p w:rsidR="00314FAD" w:rsidRDefault="00314FAD" w:rsidP="004B2FE3">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FAD" w:rsidRDefault="00F95C64" w:rsidP="004B2FE3">
    <w:pPr>
      <w:pStyle w:val="Glava"/>
      <w:ind w:left="-1134"/>
      <w:jc w:val="left"/>
    </w:pPr>
    <w:r>
      <w:rPr>
        <w:noProof/>
        <w:lang w:val="sl-SI" w:eastAsia="sl-SI" w:bidi="ar-SA"/>
      </w:rPr>
      <w:drawing>
        <wp:inline distT="0" distB="0" distL="0" distR="0">
          <wp:extent cx="923925" cy="476250"/>
          <wp:effectExtent l="0" t="0" r="9525" b="0"/>
          <wp:docPr id="4" name="Slika 9" descr="logo_gzs_S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logo_gzs_S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76250"/>
                  </a:xfrm>
                  <a:prstGeom prst="rect">
                    <a:avLst/>
                  </a:prstGeom>
                  <a:noFill/>
                  <a:ln>
                    <a:noFill/>
                  </a:ln>
                </pic:spPr>
              </pic:pic>
            </a:graphicData>
          </a:graphic>
        </wp:inline>
      </w:drawing>
    </w:r>
  </w:p>
  <w:p w:rsidR="00314FAD" w:rsidRPr="008B4EC5" w:rsidRDefault="00314FAD" w:rsidP="004B2FE3">
    <w:pPr>
      <w:pStyle w:val="Glava"/>
      <w:pBdr>
        <w:bottom w:val="single" w:sz="18" w:space="1" w:color="808080"/>
      </w:pBdr>
      <w:spacing w:before="120" w:line="240" w:lineRule="exact"/>
      <w:ind w:left="-1134" w:right="-1135"/>
      <w:jc w:val="left"/>
      <w:rPr>
        <w:rFonts w:cs="Tahoma"/>
        <w:szCs w:val="14"/>
      </w:rPr>
    </w:pPr>
  </w:p>
  <w:p w:rsidR="00314FAD" w:rsidRDefault="00314FAD" w:rsidP="004B2FE3">
    <w:pPr>
      <w:ind w:left="-1134" w:right="-1276"/>
      <w:rPr>
        <w:rFonts w:cs="Tahoma"/>
        <w:sz w:val="14"/>
        <w:szCs w:val="14"/>
      </w:rPr>
    </w:pPr>
    <w:r w:rsidRPr="005748D9">
      <w:rPr>
        <w:rFonts w:cs="Tahoma"/>
        <w:noProof/>
        <w:sz w:val="14"/>
        <w:szCs w:val="14"/>
      </w:rPr>
      <w:t>Dimičeva 13</w:t>
    </w:r>
    <w:r w:rsidRPr="008B4EC5">
      <w:rPr>
        <w:rFonts w:cs="Tahoma"/>
        <w:color w:val="808080"/>
        <w:sz w:val="12"/>
        <w:szCs w:val="12"/>
      </w:rPr>
      <w:sym w:font="Wingdings" w:char="F06E"/>
    </w:r>
    <w:r w:rsidRPr="005748D9">
      <w:rPr>
        <w:rFonts w:cs="Tahoma"/>
        <w:noProof/>
        <w:sz w:val="14"/>
        <w:szCs w:val="14"/>
      </w:rPr>
      <w:t>1504 Ljubljana</w:t>
    </w:r>
    <w:r w:rsidRPr="008B4EC5">
      <w:rPr>
        <w:rFonts w:cs="Tahoma"/>
        <w:color w:val="808080"/>
        <w:sz w:val="12"/>
        <w:szCs w:val="12"/>
      </w:rPr>
      <w:sym w:font="Wingdings" w:char="F06E"/>
    </w:r>
    <w:r w:rsidRPr="008B4EC5">
      <w:rPr>
        <w:rFonts w:cs="Tahoma"/>
        <w:sz w:val="14"/>
        <w:szCs w:val="14"/>
      </w:rPr>
      <w:t xml:space="preserve"> T: </w:t>
    </w:r>
    <w:r w:rsidRPr="005748D9">
      <w:rPr>
        <w:rFonts w:cs="Tahoma"/>
        <w:noProof/>
        <w:sz w:val="14"/>
        <w:szCs w:val="14"/>
      </w:rPr>
      <w:t>(01) 58 98 000</w:t>
    </w:r>
    <w:r w:rsidRPr="008B4EC5">
      <w:rPr>
        <w:rFonts w:cs="Tahoma"/>
        <w:color w:val="808080"/>
        <w:sz w:val="12"/>
        <w:szCs w:val="12"/>
      </w:rPr>
      <w:sym w:font="Wingdings" w:char="F06E"/>
    </w:r>
    <w:r w:rsidRPr="008B4EC5">
      <w:rPr>
        <w:rFonts w:cs="Tahoma"/>
        <w:sz w:val="14"/>
        <w:szCs w:val="14"/>
      </w:rPr>
      <w:t xml:space="preserve"> F: </w:t>
    </w:r>
    <w:r w:rsidRPr="005748D9">
      <w:rPr>
        <w:rFonts w:cs="Tahoma"/>
        <w:noProof/>
        <w:sz w:val="14"/>
        <w:szCs w:val="14"/>
      </w:rPr>
      <w:t>(01) 58 98 100</w:t>
    </w:r>
    <w:r w:rsidRPr="008B4EC5">
      <w:rPr>
        <w:rFonts w:cs="Tahoma"/>
        <w:color w:val="808080"/>
        <w:sz w:val="12"/>
        <w:szCs w:val="12"/>
      </w:rPr>
      <w:sym w:font="Wingdings" w:char="F06E"/>
    </w:r>
    <w:r w:rsidRPr="005748D9">
      <w:rPr>
        <w:rFonts w:cs="Tahoma"/>
        <w:noProof/>
        <w:sz w:val="14"/>
        <w:szCs w:val="14"/>
      </w:rPr>
      <w:t>info@gzs.si</w:t>
    </w:r>
    <w:r w:rsidRPr="008B4EC5">
      <w:rPr>
        <w:rFonts w:cs="Tahoma"/>
        <w:color w:val="808080"/>
        <w:sz w:val="12"/>
        <w:szCs w:val="12"/>
      </w:rPr>
      <w:sym w:font="Wingdings" w:char="F06E"/>
    </w:r>
    <w:r w:rsidRPr="005748D9">
      <w:rPr>
        <w:rFonts w:cs="Tahoma"/>
        <w:noProof/>
        <w:sz w:val="14"/>
        <w:szCs w:val="14"/>
      </w:rPr>
      <w:t>www.gzs.si</w:t>
    </w:r>
  </w:p>
  <w:p w:rsidR="00314FAD" w:rsidRPr="008B4EC5" w:rsidRDefault="00314FAD" w:rsidP="00BD24D0">
    <w:pPr>
      <w:pStyle w:val="Glava"/>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46674D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000A5C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C3C035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AD854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8AEC9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A6CCA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C36C6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B6A4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67EE15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9D4CD6C"/>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3"/>
    <w:lvl w:ilvl="0">
      <w:start w:val="1"/>
      <w:numFmt w:val="bullet"/>
      <w:lvlText w:val=""/>
      <w:lvlJc w:val="left"/>
      <w:pPr>
        <w:tabs>
          <w:tab w:val="num" w:pos="681"/>
        </w:tabs>
        <w:ind w:left="681" w:hanging="397"/>
      </w:pPr>
      <w:rPr>
        <w:rFonts w:ascii="Symbol" w:hAnsi="Symbol"/>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3"/>
    <w:multiLevelType w:val="multilevel"/>
    <w:tmpl w:val="00000003"/>
    <w:name w:val="WW8Num4"/>
    <w:lvl w:ilvl="0">
      <w:start w:val="1"/>
      <w:numFmt w:val="bullet"/>
      <w:lvlText w:val=""/>
      <w:lvlJc w:val="left"/>
      <w:pPr>
        <w:tabs>
          <w:tab w:val="num" w:pos="397"/>
        </w:tabs>
        <w:ind w:left="397" w:hanging="397"/>
      </w:pPr>
      <w:rPr>
        <w:rFonts w:ascii="Symbol" w:hAnsi="Symbol"/>
        <w:color w:val="00000A"/>
      </w:rPr>
    </w:lvl>
    <w:lvl w:ilvl="1">
      <w:start w:val="1"/>
      <w:numFmt w:val="bullet"/>
      <w:lvlText w:val="o"/>
      <w:lvlJc w:val="left"/>
      <w:pPr>
        <w:tabs>
          <w:tab w:val="num" w:pos="1156"/>
        </w:tabs>
        <w:ind w:left="1156" w:hanging="360"/>
      </w:pPr>
      <w:rPr>
        <w:rFonts w:ascii="Courier New" w:hAnsi="Courier New"/>
      </w:rPr>
    </w:lvl>
    <w:lvl w:ilvl="2">
      <w:start w:val="1"/>
      <w:numFmt w:val="bullet"/>
      <w:lvlText w:val=""/>
      <w:lvlJc w:val="left"/>
      <w:pPr>
        <w:tabs>
          <w:tab w:val="num" w:pos="1876"/>
        </w:tabs>
        <w:ind w:left="1876" w:hanging="360"/>
      </w:pPr>
      <w:rPr>
        <w:rFonts w:ascii="Wingdings" w:hAnsi="Wingdings"/>
      </w:rPr>
    </w:lvl>
    <w:lvl w:ilvl="3">
      <w:start w:val="1"/>
      <w:numFmt w:val="bullet"/>
      <w:lvlText w:val=""/>
      <w:lvlJc w:val="left"/>
      <w:pPr>
        <w:tabs>
          <w:tab w:val="num" w:pos="2596"/>
        </w:tabs>
        <w:ind w:left="2596" w:hanging="360"/>
      </w:pPr>
      <w:rPr>
        <w:rFonts w:ascii="Symbol" w:hAnsi="Symbol"/>
      </w:rPr>
    </w:lvl>
    <w:lvl w:ilvl="4">
      <w:start w:val="1"/>
      <w:numFmt w:val="bullet"/>
      <w:lvlText w:val="o"/>
      <w:lvlJc w:val="left"/>
      <w:pPr>
        <w:tabs>
          <w:tab w:val="num" w:pos="3316"/>
        </w:tabs>
        <w:ind w:left="3316" w:hanging="360"/>
      </w:pPr>
      <w:rPr>
        <w:rFonts w:ascii="Courier New" w:hAnsi="Courier New"/>
      </w:rPr>
    </w:lvl>
    <w:lvl w:ilvl="5">
      <w:start w:val="1"/>
      <w:numFmt w:val="bullet"/>
      <w:lvlText w:val=""/>
      <w:lvlJc w:val="left"/>
      <w:pPr>
        <w:tabs>
          <w:tab w:val="num" w:pos="4036"/>
        </w:tabs>
        <w:ind w:left="4036" w:hanging="360"/>
      </w:pPr>
      <w:rPr>
        <w:rFonts w:ascii="Wingdings" w:hAnsi="Wingdings"/>
      </w:rPr>
    </w:lvl>
    <w:lvl w:ilvl="6">
      <w:start w:val="1"/>
      <w:numFmt w:val="bullet"/>
      <w:lvlText w:val=""/>
      <w:lvlJc w:val="left"/>
      <w:pPr>
        <w:tabs>
          <w:tab w:val="num" w:pos="4756"/>
        </w:tabs>
        <w:ind w:left="4756" w:hanging="360"/>
      </w:pPr>
      <w:rPr>
        <w:rFonts w:ascii="Symbol" w:hAnsi="Symbol"/>
      </w:rPr>
    </w:lvl>
    <w:lvl w:ilvl="7">
      <w:start w:val="1"/>
      <w:numFmt w:val="bullet"/>
      <w:lvlText w:val="o"/>
      <w:lvlJc w:val="left"/>
      <w:pPr>
        <w:tabs>
          <w:tab w:val="num" w:pos="5476"/>
        </w:tabs>
        <w:ind w:left="5476" w:hanging="360"/>
      </w:pPr>
      <w:rPr>
        <w:rFonts w:ascii="Courier New" w:hAnsi="Courier New"/>
      </w:rPr>
    </w:lvl>
    <w:lvl w:ilvl="8">
      <w:start w:val="1"/>
      <w:numFmt w:val="bullet"/>
      <w:lvlText w:val=""/>
      <w:lvlJc w:val="left"/>
      <w:pPr>
        <w:tabs>
          <w:tab w:val="num" w:pos="6196"/>
        </w:tabs>
        <w:ind w:left="6196" w:hanging="360"/>
      </w:pPr>
      <w:rPr>
        <w:rFonts w:ascii="Wingdings" w:hAnsi="Wingdings"/>
      </w:rPr>
    </w:lvl>
  </w:abstractNum>
  <w:abstractNum w:abstractNumId="12">
    <w:nsid w:val="00000004"/>
    <w:multiLevelType w:val="multilevel"/>
    <w:tmpl w:val="00000004"/>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00000005"/>
    <w:multiLevelType w:val="multilevel"/>
    <w:tmpl w:val="00000005"/>
    <w:name w:val="WW8Num6"/>
    <w:lvl w:ilvl="0">
      <w:start w:val="1"/>
      <w:numFmt w:val="bullet"/>
      <w:lvlText w:val="•"/>
      <w:lvlJc w:val="left"/>
      <w:pPr>
        <w:tabs>
          <w:tab w:val="num" w:pos="720"/>
        </w:tabs>
        <w:ind w:left="7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Times New Roman" w:hAnsi="Times New Roman"/>
      </w:rPr>
    </w:lvl>
    <w:lvl w:ilvl="3">
      <w:start w:val="1"/>
      <w:numFmt w:val="bullet"/>
      <w:lvlText w:val="•"/>
      <w:lvlJc w:val="left"/>
      <w:pPr>
        <w:tabs>
          <w:tab w:val="num" w:pos="2880"/>
        </w:tabs>
        <w:ind w:left="2880" w:hanging="360"/>
      </w:pPr>
      <w:rPr>
        <w:rFonts w:ascii="Times New Roman" w:hAnsi="Times New Roman"/>
      </w:rPr>
    </w:lvl>
    <w:lvl w:ilvl="4">
      <w:start w:val="1"/>
      <w:numFmt w:val="bullet"/>
      <w:lvlText w:val="•"/>
      <w:lvlJc w:val="left"/>
      <w:pPr>
        <w:tabs>
          <w:tab w:val="num" w:pos="3600"/>
        </w:tabs>
        <w:ind w:left="3600" w:hanging="360"/>
      </w:pPr>
      <w:rPr>
        <w:rFonts w:ascii="Times New Roman" w:hAnsi="Times New Roman"/>
      </w:rPr>
    </w:lvl>
    <w:lvl w:ilvl="5">
      <w:start w:val="1"/>
      <w:numFmt w:val="bullet"/>
      <w:lvlText w:val="•"/>
      <w:lvlJc w:val="left"/>
      <w:pPr>
        <w:tabs>
          <w:tab w:val="num" w:pos="4320"/>
        </w:tabs>
        <w:ind w:left="4320" w:hanging="360"/>
      </w:pPr>
      <w:rPr>
        <w:rFonts w:ascii="Times New Roman" w:hAnsi="Times New Roman"/>
      </w:rPr>
    </w:lvl>
    <w:lvl w:ilvl="6">
      <w:start w:val="1"/>
      <w:numFmt w:val="bullet"/>
      <w:lvlText w:val="•"/>
      <w:lvlJc w:val="left"/>
      <w:pPr>
        <w:tabs>
          <w:tab w:val="num" w:pos="5040"/>
        </w:tabs>
        <w:ind w:left="5040" w:hanging="360"/>
      </w:pPr>
      <w:rPr>
        <w:rFonts w:ascii="Times New Roman" w:hAnsi="Times New Roman"/>
      </w:rPr>
    </w:lvl>
    <w:lvl w:ilvl="7">
      <w:start w:val="1"/>
      <w:numFmt w:val="bullet"/>
      <w:lvlText w:val="•"/>
      <w:lvlJc w:val="left"/>
      <w:pPr>
        <w:tabs>
          <w:tab w:val="num" w:pos="5760"/>
        </w:tabs>
        <w:ind w:left="5760" w:hanging="360"/>
      </w:pPr>
      <w:rPr>
        <w:rFonts w:ascii="Times New Roman" w:hAnsi="Times New Roman"/>
      </w:rPr>
    </w:lvl>
    <w:lvl w:ilvl="8">
      <w:start w:val="1"/>
      <w:numFmt w:val="bullet"/>
      <w:lvlText w:val="•"/>
      <w:lvlJc w:val="left"/>
      <w:pPr>
        <w:tabs>
          <w:tab w:val="num" w:pos="6480"/>
        </w:tabs>
        <w:ind w:left="6480" w:hanging="360"/>
      </w:pPr>
      <w:rPr>
        <w:rFonts w:ascii="Times New Roman" w:hAnsi="Times New Roman"/>
      </w:rPr>
    </w:lvl>
  </w:abstractNum>
  <w:abstractNum w:abstractNumId="14">
    <w:nsid w:val="0B590CF3"/>
    <w:multiLevelType w:val="hybridMultilevel"/>
    <w:tmpl w:val="B262F740"/>
    <w:lvl w:ilvl="0" w:tplc="0424000F">
      <w:start w:val="1"/>
      <w:numFmt w:val="decimal"/>
      <w:lvlText w:val="%1."/>
      <w:lvlJc w:val="left"/>
      <w:pPr>
        <w:tabs>
          <w:tab w:val="num" w:pos="360"/>
        </w:tabs>
        <w:ind w:left="360" w:hanging="360"/>
      </w:pPr>
      <w:rPr>
        <w:rFonts w:cs="Times New Roman"/>
      </w:rPr>
    </w:lvl>
    <w:lvl w:ilvl="1" w:tplc="3DECED22">
      <w:start w:val="1"/>
      <w:numFmt w:val="bullet"/>
      <w:lvlText w:val=""/>
      <w:lvlJc w:val="left"/>
      <w:pPr>
        <w:tabs>
          <w:tab w:val="num" w:pos="1080"/>
        </w:tabs>
        <w:ind w:left="1080" w:hanging="360"/>
      </w:pPr>
      <w:rPr>
        <w:rFonts w:ascii="Wingdings" w:hAnsi="Wingdings"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5">
    <w:nsid w:val="16AB5357"/>
    <w:multiLevelType w:val="hybridMultilevel"/>
    <w:tmpl w:val="CCD6DDE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21823923"/>
    <w:multiLevelType w:val="multilevel"/>
    <w:tmpl w:val="40F2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4E1B91"/>
    <w:multiLevelType w:val="hybridMultilevel"/>
    <w:tmpl w:val="92D8E94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2BB56D0D"/>
    <w:multiLevelType w:val="multilevel"/>
    <w:tmpl w:val="D662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DB16FA"/>
    <w:multiLevelType w:val="hybridMultilevel"/>
    <w:tmpl w:val="66AAF680"/>
    <w:lvl w:ilvl="0" w:tplc="35EACF48">
      <w:start w:val="1"/>
      <w:numFmt w:val="bullet"/>
      <w:lvlText w:val="•"/>
      <w:lvlJc w:val="left"/>
      <w:pPr>
        <w:tabs>
          <w:tab w:val="num" w:pos="720"/>
        </w:tabs>
        <w:ind w:left="720" w:hanging="360"/>
      </w:pPr>
      <w:rPr>
        <w:rFonts w:ascii="Times New Roman" w:hAnsi="Times New Roman" w:hint="default"/>
      </w:rPr>
    </w:lvl>
    <w:lvl w:ilvl="1" w:tplc="7240A118" w:tentative="1">
      <w:start w:val="1"/>
      <w:numFmt w:val="bullet"/>
      <w:lvlText w:val="•"/>
      <w:lvlJc w:val="left"/>
      <w:pPr>
        <w:tabs>
          <w:tab w:val="num" w:pos="1440"/>
        </w:tabs>
        <w:ind w:left="1440" w:hanging="360"/>
      </w:pPr>
      <w:rPr>
        <w:rFonts w:ascii="Times New Roman" w:hAnsi="Times New Roman" w:hint="default"/>
      </w:rPr>
    </w:lvl>
    <w:lvl w:ilvl="2" w:tplc="A4B8AAEA" w:tentative="1">
      <w:start w:val="1"/>
      <w:numFmt w:val="bullet"/>
      <w:lvlText w:val="•"/>
      <w:lvlJc w:val="left"/>
      <w:pPr>
        <w:tabs>
          <w:tab w:val="num" w:pos="2160"/>
        </w:tabs>
        <w:ind w:left="2160" w:hanging="360"/>
      </w:pPr>
      <w:rPr>
        <w:rFonts w:ascii="Times New Roman" w:hAnsi="Times New Roman" w:hint="default"/>
      </w:rPr>
    </w:lvl>
    <w:lvl w:ilvl="3" w:tplc="600ACD46" w:tentative="1">
      <w:start w:val="1"/>
      <w:numFmt w:val="bullet"/>
      <w:lvlText w:val="•"/>
      <w:lvlJc w:val="left"/>
      <w:pPr>
        <w:tabs>
          <w:tab w:val="num" w:pos="2880"/>
        </w:tabs>
        <w:ind w:left="2880" w:hanging="360"/>
      </w:pPr>
      <w:rPr>
        <w:rFonts w:ascii="Times New Roman" w:hAnsi="Times New Roman" w:hint="default"/>
      </w:rPr>
    </w:lvl>
    <w:lvl w:ilvl="4" w:tplc="93362422" w:tentative="1">
      <w:start w:val="1"/>
      <w:numFmt w:val="bullet"/>
      <w:lvlText w:val="•"/>
      <w:lvlJc w:val="left"/>
      <w:pPr>
        <w:tabs>
          <w:tab w:val="num" w:pos="3600"/>
        </w:tabs>
        <w:ind w:left="3600" w:hanging="360"/>
      </w:pPr>
      <w:rPr>
        <w:rFonts w:ascii="Times New Roman" w:hAnsi="Times New Roman" w:hint="default"/>
      </w:rPr>
    </w:lvl>
    <w:lvl w:ilvl="5" w:tplc="73B8CDB6" w:tentative="1">
      <w:start w:val="1"/>
      <w:numFmt w:val="bullet"/>
      <w:lvlText w:val="•"/>
      <w:lvlJc w:val="left"/>
      <w:pPr>
        <w:tabs>
          <w:tab w:val="num" w:pos="4320"/>
        </w:tabs>
        <w:ind w:left="4320" w:hanging="360"/>
      </w:pPr>
      <w:rPr>
        <w:rFonts w:ascii="Times New Roman" w:hAnsi="Times New Roman" w:hint="default"/>
      </w:rPr>
    </w:lvl>
    <w:lvl w:ilvl="6" w:tplc="60843C6C" w:tentative="1">
      <w:start w:val="1"/>
      <w:numFmt w:val="bullet"/>
      <w:lvlText w:val="•"/>
      <w:lvlJc w:val="left"/>
      <w:pPr>
        <w:tabs>
          <w:tab w:val="num" w:pos="5040"/>
        </w:tabs>
        <w:ind w:left="5040" w:hanging="360"/>
      </w:pPr>
      <w:rPr>
        <w:rFonts w:ascii="Times New Roman" w:hAnsi="Times New Roman" w:hint="default"/>
      </w:rPr>
    </w:lvl>
    <w:lvl w:ilvl="7" w:tplc="81867560" w:tentative="1">
      <w:start w:val="1"/>
      <w:numFmt w:val="bullet"/>
      <w:lvlText w:val="•"/>
      <w:lvlJc w:val="left"/>
      <w:pPr>
        <w:tabs>
          <w:tab w:val="num" w:pos="5760"/>
        </w:tabs>
        <w:ind w:left="5760" w:hanging="360"/>
      </w:pPr>
      <w:rPr>
        <w:rFonts w:ascii="Times New Roman" w:hAnsi="Times New Roman" w:hint="default"/>
      </w:rPr>
    </w:lvl>
    <w:lvl w:ilvl="8" w:tplc="8390A69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4736E17"/>
    <w:multiLevelType w:val="hybridMultilevel"/>
    <w:tmpl w:val="0F60252C"/>
    <w:lvl w:ilvl="0" w:tplc="04240001">
      <w:start w:val="1"/>
      <w:numFmt w:val="bullet"/>
      <w:lvlText w:val=""/>
      <w:lvlJc w:val="left"/>
      <w:pPr>
        <w:tabs>
          <w:tab w:val="num" w:pos="720"/>
        </w:tabs>
        <w:ind w:left="720" w:hanging="360"/>
      </w:pPr>
      <w:rPr>
        <w:rFonts w:ascii="Symbol" w:hAnsi="Symbol" w:hint="default"/>
      </w:rPr>
    </w:lvl>
    <w:lvl w:ilvl="1" w:tplc="3DECED22">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1">
    <w:nsid w:val="3CB77711"/>
    <w:multiLevelType w:val="hybridMultilevel"/>
    <w:tmpl w:val="1A325A6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nsid w:val="3E16242D"/>
    <w:multiLevelType w:val="hybridMultilevel"/>
    <w:tmpl w:val="FF6692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25621AF"/>
    <w:multiLevelType w:val="multilevel"/>
    <w:tmpl w:val="DDDC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45F34D3"/>
    <w:multiLevelType w:val="hybridMultilevel"/>
    <w:tmpl w:val="9B22122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524C62DA"/>
    <w:multiLevelType w:val="hybridMultilevel"/>
    <w:tmpl w:val="0E3EB86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nsid w:val="5B6A3239"/>
    <w:multiLevelType w:val="hybridMultilevel"/>
    <w:tmpl w:val="EFFE8CE0"/>
    <w:lvl w:ilvl="0" w:tplc="A6D85D26">
      <w:start w:val="1"/>
      <w:numFmt w:val="bullet"/>
      <w:lvlText w:val=""/>
      <w:lvlJc w:val="left"/>
      <w:pPr>
        <w:tabs>
          <w:tab w:val="num" w:pos="1080"/>
        </w:tabs>
        <w:ind w:left="1080" w:hanging="360"/>
      </w:pPr>
      <w:rPr>
        <w:rFonts w:ascii="Symbol" w:hAnsi="Symbol" w:hint="default"/>
      </w:rPr>
    </w:lvl>
    <w:lvl w:ilvl="1" w:tplc="077A46B4" w:tentative="1">
      <w:start w:val="1"/>
      <w:numFmt w:val="bullet"/>
      <w:lvlText w:val="o"/>
      <w:lvlJc w:val="left"/>
      <w:pPr>
        <w:tabs>
          <w:tab w:val="num" w:pos="1800"/>
        </w:tabs>
        <w:ind w:left="1800" w:hanging="360"/>
      </w:pPr>
      <w:rPr>
        <w:rFonts w:ascii="Courier New" w:hAnsi="Courier New" w:hint="default"/>
      </w:rPr>
    </w:lvl>
    <w:lvl w:ilvl="2" w:tplc="F244D6F0" w:tentative="1">
      <w:start w:val="1"/>
      <w:numFmt w:val="bullet"/>
      <w:lvlText w:val=""/>
      <w:lvlJc w:val="left"/>
      <w:pPr>
        <w:tabs>
          <w:tab w:val="num" w:pos="2520"/>
        </w:tabs>
        <w:ind w:left="2520" w:hanging="360"/>
      </w:pPr>
      <w:rPr>
        <w:rFonts w:ascii="Wingdings" w:hAnsi="Wingdings" w:hint="default"/>
      </w:rPr>
    </w:lvl>
    <w:lvl w:ilvl="3" w:tplc="46FC8928" w:tentative="1">
      <w:start w:val="1"/>
      <w:numFmt w:val="bullet"/>
      <w:lvlText w:val=""/>
      <w:lvlJc w:val="left"/>
      <w:pPr>
        <w:tabs>
          <w:tab w:val="num" w:pos="3240"/>
        </w:tabs>
        <w:ind w:left="3240" w:hanging="360"/>
      </w:pPr>
      <w:rPr>
        <w:rFonts w:ascii="Symbol" w:hAnsi="Symbol" w:hint="default"/>
      </w:rPr>
    </w:lvl>
    <w:lvl w:ilvl="4" w:tplc="3B047F9C" w:tentative="1">
      <w:start w:val="1"/>
      <w:numFmt w:val="bullet"/>
      <w:lvlText w:val="o"/>
      <w:lvlJc w:val="left"/>
      <w:pPr>
        <w:tabs>
          <w:tab w:val="num" w:pos="3960"/>
        </w:tabs>
        <w:ind w:left="3960" w:hanging="360"/>
      </w:pPr>
      <w:rPr>
        <w:rFonts w:ascii="Courier New" w:hAnsi="Courier New" w:hint="default"/>
      </w:rPr>
    </w:lvl>
    <w:lvl w:ilvl="5" w:tplc="26AC1B24" w:tentative="1">
      <w:start w:val="1"/>
      <w:numFmt w:val="bullet"/>
      <w:lvlText w:val=""/>
      <w:lvlJc w:val="left"/>
      <w:pPr>
        <w:tabs>
          <w:tab w:val="num" w:pos="4680"/>
        </w:tabs>
        <w:ind w:left="4680" w:hanging="360"/>
      </w:pPr>
      <w:rPr>
        <w:rFonts w:ascii="Wingdings" w:hAnsi="Wingdings" w:hint="default"/>
      </w:rPr>
    </w:lvl>
    <w:lvl w:ilvl="6" w:tplc="B8F64014" w:tentative="1">
      <w:start w:val="1"/>
      <w:numFmt w:val="bullet"/>
      <w:lvlText w:val=""/>
      <w:lvlJc w:val="left"/>
      <w:pPr>
        <w:tabs>
          <w:tab w:val="num" w:pos="5400"/>
        </w:tabs>
        <w:ind w:left="5400" w:hanging="360"/>
      </w:pPr>
      <w:rPr>
        <w:rFonts w:ascii="Symbol" w:hAnsi="Symbol" w:hint="default"/>
      </w:rPr>
    </w:lvl>
    <w:lvl w:ilvl="7" w:tplc="93E0867C" w:tentative="1">
      <w:start w:val="1"/>
      <w:numFmt w:val="bullet"/>
      <w:lvlText w:val="o"/>
      <w:lvlJc w:val="left"/>
      <w:pPr>
        <w:tabs>
          <w:tab w:val="num" w:pos="6120"/>
        </w:tabs>
        <w:ind w:left="6120" w:hanging="360"/>
      </w:pPr>
      <w:rPr>
        <w:rFonts w:ascii="Courier New" w:hAnsi="Courier New" w:hint="default"/>
      </w:rPr>
    </w:lvl>
    <w:lvl w:ilvl="8" w:tplc="C59445E6" w:tentative="1">
      <w:start w:val="1"/>
      <w:numFmt w:val="bullet"/>
      <w:lvlText w:val=""/>
      <w:lvlJc w:val="left"/>
      <w:pPr>
        <w:tabs>
          <w:tab w:val="num" w:pos="6840"/>
        </w:tabs>
        <w:ind w:left="6840" w:hanging="360"/>
      </w:pPr>
      <w:rPr>
        <w:rFonts w:ascii="Wingdings" w:hAnsi="Wingdings" w:hint="default"/>
      </w:rPr>
    </w:lvl>
  </w:abstractNum>
  <w:abstractNum w:abstractNumId="27">
    <w:nsid w:val="5ED37CBF"/>
    <w:multiLevelType w:val="hybridMultilevel"/>
    <w:tmpl w:val="19E235E8"/>
    <w:lvl w:ilvl="0" w:tplc="04240001">
      <w:start w:val="1"/>
      <w:numFmt w:val="bullet"/>
      <w:lvlText w:val=""/>
      <w:lvlJc w:val="left"/>
      <w:pPr>
        <w:tabs>
          <w:tab w:val="num" w:pos="360"/>
        </w:tabs>
        <w:ind w:left="360" w:hanging="360"/>
      </w:pPr>
      <w:rPr>
        <w:rFonts w:ascii="Symbol" w:hAnsi="Symbol" w:hint="default"/>
      </w:rPr>
    </w:lvl>
    <w:lvl w:ilvl="1" w:tplc="3DECED22">
      <w:start w:val="1"/>
      <w:numFmt w:val="bullet"/>
      <w:lvlText w:val=""/>
      <w:lvlJc w:val="left"/>
      <w:pPr>
        <w:tabs>
          <w:tab w:val="num" w:pos="1080"/>
        </w:tabs>
        <w:ind w:left="1080" w:hanging="360"/>
      </w:pPr>
      <w:rPr>
        <w:rFonts w:ascii="Wingdings" w:hAnsi="Wingdings"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nsid w:val="62592ABB"/>
    <w:multiLevelType w:val="hybridMultilevel"/>
    <w:tmpl w:val="E252EF3C"/>
    <w:lvl w:ilvl="0" w:tplc="04240001">
      <w:start w:val="1"/>
      <w:numFmt w:val="bullet"/>
      <w:lvlText w:val=""/>
      <w:lvlJc w:val="left"/>
      <w:pPr>
        <w:tabs>
          <w:tab w:val="num" w:pos="750"/>
        </w:tabs>
        <w:ind w:left="750" w:hanging="360"/>
      </w:pPr>
      <w:rPr>
        <w:rFonts w:ascii="Symbol" w:hAnsi="Symbol" w:hint="default"/>
      </w:rPr>
    </w:lvl>
    <w:lvl w:ilvl="1" w:tplc="04240003" w:tentative="1">
      <w:start w:val="1"/>
      <w:numFmt w:val="bullet"/>
      <w:lvlText w:val="o"/>
      <w:lvlJc w:val="left"/>
      <w:pPr>
        <w:tabs>
          <w:tab w:val="num" w:pos="1470"/>
        </w:tabs>
        <w:ind w:left="1470" w:hanging="360"/>
      </w:pPr>
      <w:rPr>
        <w:rFonts w:ascii="Courier New" w:hAnsi="Courier New" w:hint="default"/>
      </w:rPr>
    </w:lvl>
    <w:lvl w:ilvl="2" w:tplc="04240005" w:tentative="1">
      <w:start w:val="1"/>
      <w:numFmt w:val="bullet"/>
      <w:lvlText w:val=""/>
      <w:lvlJc w:val="left"/>
      <w:pPr>
        <w:tabs>
          <w:tab w:val="num" w:pos="2190"/>
        </w:tabs>
        <w:ind w:left="2190" w:hanging="360"/>
      </w:pPr>
      <w:rPr>
        <w:rFonts w:ascii="Wingdings" w:hAnsi="Wingdings" w:hint="default"/>
      </w:rPr>
    </w:lvl>
    <w:lvl w:ilvl="3" w:tplc="04240001" w:tentative="1">
      <w:start w:val="1"/>
      <w:numFmt w:val="bullet"/>
      <w:lvlText w:val=""/>
      <w:lvlJc w:val="left"/>
      <w:pPr>
        <w:tabs>
          <w:tab w:val="num" w:pos="2910"/>
        </w:tabs>
        <w:ind w:left="2910" w:hanging="360"/>
      </w:pPr>
      <w:rPr>
        <w:rFonts w:ascii="Symbol" w:hAnsi="Symbol" w:hint="default"/>
      </w:rPr>
    </w:lvl>
    <w:lvl w:ilvl="4" w:tplc="04240003" w:tentative="1">
      <w:start w:val="1"/>
      <w:numFmt w:val="bullet"/>
      <w:lvlText w:val="o"/>
      <w:lvlJc w:val="left"/>
      <w:pPr>
        <w:tabs>
          <w:tab w:val="num" w:pos="3630"/>
        </w:tabs>
        <w:ind w:left="3630" w:hanging="360"/>
      </w:pPr>
      <w:rPr>
        <w:rFonts w:ascii="Courier New" w:hAnsi="Courier New" w:hint="default"/>
      </w:rPr>
    </w:lvl>
    <w:lvl w:ilvl="5" w:tplc="04240005" w:tentative="1">
      <w:start w:val="1"/>
      <w:numFmt w:val="bullet"/>
      <w:lvlText w:val=""/>
      <w:lvlJc w:val="left"/>
      <w:pPr>
        <w:tabs>
          <w:tab w:val="num" w:pos="4350"/>
        </w:tabs>
        <w:ind w:left="4350" w:hanging="360"/>
      </w:pPr>
      <w:rPr>
        <w:rFonts w:ascii="Wingdings" w:hAnsi="Wingdings" w:hint="default"/>
      </w:rPr>
    </w:lvl>
    <w:lvl w:ilvl="6" w:tplc="04240001" w:tentative="1">
      <w:start w:val="1"/>
      <w:numFmt w:val="bullet"/>
      <w:lvlText w:val=""/>
      <w:lvlJc w:val="left"/>
      <w:pPr>
        <w:tabs>
          <w:tab w:val="num" w:pos="5070"/>
        </w:tabs>
        <w:ind w:left="5070" w:hanging="360"/>
      </w:pPr>
      <w:rPr>
        <w:rFonts w:ascii="Symbol" w:hAnsi="Symbol" w:hint="default"/>
      </w:rPr>
    </w:lvl>
    <w:lvl w:ilvl="7" w:tplc="04240003" w:tentative="1">
      <w:start w:val="1"/>
      <w:numFmt w:val="bullet"/>
      <w:lvlText w:val="o"/>
      <w:lvlJc w:val="left"/>
      <w:pPr>
        <w:tabs>
          <w:tab w:val="num" w:pos="5790"/>
        </w:tabs>
        <w:ind w:left="5790" w:hanging="360"/>
      </w:pPr>
      <w:rPr>
        <w:rFonts w:ascii="Courier New" w:hAnsi="Courier New" w:hint="default"/>
      </w:rPr>
    </w:lvl>
    <w:lvl w:ilvl="8" w:tplc="04240005" w:tentative="1">
      <w:start w:val="1"/>
      <w:numFmt w:val="bullet"/>
      <w:lvlText w:val=""/>
      <w:lvlJc w:val="left"/>
      <w:pPr>
        <w:tabs>
          <w:tab w:val="num" w:pos="6510"/>
        </w:tabs>
        <w:ind w:left="6510" w:hanging="360"/>
      </w:pPr>
      <w:rPr>
        <w:rFonts w:ascii="Wingdings" w:hAnsi="Wingdings" w:hint="default"/>
      </w:rPr>
    </w:lvl>
  </w:abstractNum>
  <w:abstractNum w:abstractNumId="29">
    <w:nsid w:val="658E3C67"/>
    <w:multiLevelType w:val="hybridMultilevel"/>
    <w:tmpl w:val="FF7822E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nsid w:val="67514CA0"/>
    <w:multiLevelType w:val="hybridMultilevel"/>
    <w:tmpl w:val="4CA26F0C"/>
    <w:lvl w:ilvl="0" w:tplc="07FA8014">
      <w:numFmt w:val="bullet"/>
      <w:lvlText w:val="-"/>
      <w:lvlJc w:val="left"/>
      <w:pPr>
        <w:tabs>
          <w:tab w:val="num" w:pos="1068"/>
        </w:tabs>
        <w:ind w:left="1068" w:hanging="360"/>
      </w:pPr>
      <w:rPr>
        <w:rFonts w:ascii="Times New Roman" w:eastAsia="Times New Roman" w:hAnsi="Times New Roman" w:hint="default"/>
      </w:rPr>
    </w:lvl>
    <w:lvl w:ilvl="1" w:tplc="04240003" w:tentative="1">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1">
    <w:nsid w:val="688503FA"/>
    <w:multiLevelType w:val="hybridMultilevel"/>
    <w:tmpl w:val="01F445EA"/>
    <w:lvl w:ilvl="0" w:tplc="04240001">
      <w:numFmt w:val="bullet"/>
      <w:lvlText w:val="-"/>
      <w:lvlJc w:val="left"/>
      <w:pPr>
        <w:tabs>
          <w:tab w:val="num" w:pos="720"/>
        </w:tabs>
        <w:ind w:left="720"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6ECA037E"/>
    <w:multiLevelType w:val="hybridMultilevel"/>
    <w:tmpl w:val="686697BE"/>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nsid w:val="71B3363C"/>
    <w:multiLevelType w:val="hybridMultilevel"/>
    <w:tmpl w:val="C93EEBB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4791A23"/>
    <w:multiLevelType w:val="hybridMultilevel"/>
    <w:tmpl w:val="DDF0D412"/>
    <w:lvl w:ilvl="0" w:tplc="04240001">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5">
    <w:nsid w:val="74B63BD2"/>
    <w:multiLevelType w:val="hybridMultilevel"/>
    <w:tmpl w:val="69C87EFE"/>
    <w:lvl w:ilvl="0" w:tplc="B1C67308">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6">
    <w:nsid w:val="7DE624CA"/>
    <w:multiLevelType w:val="multilevel"/>
    <w:tmpl w:val="1E9C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5"/>
  </w:num>
  <w:num w:numId="3">
    <w:abstractNumId w:val="2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1"/>
  </w:num>
  <w:num w:numId="15">
    <w:abstractNumId w:val="36"/>
  </w:num>
  <w:num w:numId="16">
    <w:abstractNumId w:val="18"/>
  </w:num>
  <w:num w:numId="17">
    <w:abstractNumId w:val="10"/>
  </w:num>
  <w:num w:numId="18">
    <w:abstractNumId w:val="11"/>
  </w:num>
  <w:num w:numId="19">
    <w:abstractNumId w:val="12"/>
  </w:num>
  <w:num w:numId="20">
    <w:abstractNumId w:val="13"/>
  </w:num>
  <w:num w:numId="21">
    <w:abstractNumId w:val="25"/>
  </w:num>
  <w:num w:numId="22">
    <w:abstractNumId w:val="32"/>
  </w:num>
  <w:num w:numId="23">
    <w:abstractNumId w:val="34"/>
  </w:num>
  <w:num w:numId="24">
    <w:abstractNumId w:val="15"/>
  </w:num>
  <w:num w:numId="25">
    <w:abstractNumId w:val="30"/>
  </w:num>
  <w:num w:numId="26">
    <w:abstractNumId w:val="17"/>
  </w:num>
  <w:num w:numId="27">
    <w:abstractNumId w:val="29"/>
  </w:num>
  <w:num w:numId="28">
    <w:abstractNumId w:val="21"/>
  </w:num>
  <w:num w:numId="29">
    <w:abstractNumId w:val="24"/>
  </w:num>
  <w:num w:numId="30">
    <w:abstractNumId w:val="28"/>
  </w:num>
  <w:num w:numId="31">
    <w:abstractNumId w:val="16"/>
  </w:num>
  <w:num w:numId="32">
    <w:abstractNumId w:val="14"/>
  </w:num>
  <w:num w:numId="33">
    <w:abstractNumId w:val="20"/>
  </w:num>
  <w:num w:numId="34">
    <w:abstractNumId w:val="33"/>
  </w:num>
  <w:num w:numId="35">
    <w:abstractNumId w:val="27"/>
  </w:num>
  <w:num w:numId="36">
    <w:abstractNumId w:val="2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08"/>
  <w:hyphenationZone w:val="425"/>
  <w:drawingGridHorizontalSpacing w:val="120"/>
  <w:displayHorizontalDrawingGridEvery w:val="2"/>
  <w:characterSpacingControl w:val="doNotCompress"/>
  <w:hdrShapeDefaults>
    <o:shapedefaults v:ext="edit" spidmax="409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2B1"/>
    <w:rsid w:val="00001773"/>
    <w:rsid w:val="00023FCD"/>
    <w:rsid w:val="00025C8B"/>
    <w:rsid w:val="00033B66"/>
    <w:rsid w:val="00056E63"/>
    <w:rsid w:val="00091283"/>
    <w:rsid w:val="00094DDE"/>
    <w:rsid w:val="000956C1"/>
    <w:rsid w:val="000C2717"/>
    <w:rsid w:val="000F6D94"/>
    <w:rsid w:val="00110587"/>
    <w:rsid w:val="00112538"/>
    <w:rsid w:val="001132FB"/>
    <w:rsid w:val="001164DA"/>
    <w:rsid w:val="00124AA4"/>
    <w:rsid w:val="001278B0"/>
    <w:rsid w:val="00150519"/>
    <w:rsid w:val="00151FA0"/>
    <w:rsid w:val="0017022F"/>
    <w:rsid w:val="0018404B"/>
    <w:rsid w:val="001934CC"/>
    <w:rsid w:val="0019527D"/>
    <w:rsid w:val="001978EB"/>
    <w:rsid w:val="001B5786"/>
    <w:rsid w:val="001C0863"/>
    <w:rsid w:val="001E0BF5"/>
    <w:rsid w:val="001E71FF"/>
    <w:rsid w:val="001F67D3"/>
    <w:rsid w:val="001F78FD"/>
    <w:rsid w:val="00203E23"/>
    <w:rsid w:val="002113BD"/>
    <w:rsid w:val="00234FCC"/>
    <w:rsid w:val="00240A06"/>
    <w:rsid w:val="00264EE7"/>
    <w:rsid w:val="002827CC"/>
    <w:rsid w:val="00296DEF"/>
    <w:rsid w:val="002A7A06"/>
    <w:rsid w:val="002D08CB"/>
    <w:rsid w:val="002D46A6"/>
    <w:rsid w:val="002E062C"/>
    <w:rsid w:val="002F3386"/>
    <w:rsid w:val="00310794"/>
    <w:rsid w:val="00314FAD"/>
    <w:rsid w:val="0034283F"/>
    <w:rsid w:val="00345DC0"/>
    <w:rsid w:val="00356D5C"/>
    <w:rsid w:val="00370F5F"/>
    <w:rsid w:val="0038786E"/>
    <w:rsid w:val="00390DAD"/>
    <w:rsid w:val="003A6C87"/>
    <w:rsid w:val="003B079C"/>
    <w:rsid w:val="003C7016"/>
    <w:rsid w:val="003D2052"/>
    <w:rsid w:val="003D727A"/>
    <w:rsid w:val="003E229F"/>
    <w:rsid w:val="003F2E1B"/>
    <w:rsid w:val="00407220"/>
    <w:rsid w:val="0042020E"/>
    <w:rsid w:val="00425F19"/>
    <w:rsid w:val="00431114"/>
    <w:rsid w:val="00465D1B"/>
    <w:rsid w:val="004818DF"/>
    <w:rsid w:val="004B2FE3"/>
    <w:rsid w:val="004C22C0"/>
    <w:rsid w:val="004D4F2D"/>
    <w:rsid w:val="004E32B1"/>
    <w:rsid w:val="004F7933"/>
    <w:rsid w:val="005005D6"/>
    <w:rsid w:val="00504E45"/>
    <w:rsid w:val="00507F54"/>
    <w:rsid w:val="00513341"/>
    <w:rsid w:val="005143F4"/>
    <w:rsid w:val="00516997"/>
    <w:rsid w:val="00572C7B"/>
    <w:rsid w:val="005731EE"/>
    <w:rsid w:val="005748D9"/>
    <w:rsid w:val="005A40C3"/>
    <w:rsid w:val="005F6866"/>
    <w:rsid w:val="006037F9"/>
    <w:rsid w:val="006057BF"/>
    <w:rsid w:val="00606219"/>
    <w:rsid w:val="00627397"/>
    <w:rsid w:val="0063014B"/>
    <w:rsid w:val="00637F07"/>
    <w:rsid w:val="00667683"/>
    <w:rsid w:val="00675AAE"/>
    <w:rsid w:val="00684504"/>
    <w:rsid w:val="00690C9B"/>
    <w:rsid w:val="006921E1"/>
    <w:rsid w:val="00692ECD"/>
    <w:rsid w:val="0069382F"/>
    <w:rsid w:val="006B5BAD"/>
    <w:rsid w:val="006D0622"/>
    <w:rsid w:val="006F58DE"/>
    <w:rsid w:val="006F6BAD"/>
    <w:rsid w:val="006F7960"/>
    <w:rsid w:val="007044C9"/>
    <w:rsid w:val="00720400"/>
    <w:rsid w:val="007328F7"/>
    <w:rsid w:val="007564AB"/>
    <w:rsid w:val="00774E54"/>
    <w:rsid w:val="007803A1"/>
    <w:rsid w:val="007D31F3"/>
    <w:rsid w:val="007D6AA1"/>
    <w:rsid w:val="007F5B65"/>
    <w:rsid w:val="0080270E"/>
    <w:rsid w:val="00804F88"/>
    <w:rsid w:val="00826A3E"/>
    <w:rsid w:val="00826BC5"/>
    <w:rsid w:val="008639BA"/>
    <w:rsid w:val="008662AD"/>
    <w:rsid w:val="00891695"/>
    <w:rsid w:val="008B4EC5"/>
    <w:rsid w:val="008C7A13"/>
    <w:rsid w:val="008D7987"/>
    <w:rsid w:val="008D7DBE"/>
    <w:rsid w:val="0090030B"/>
    <w:rsid w:val="00907B8C"/>
    <w:rsid w:val="00912497"/>
    <w:rsid w:val="00965B29"/>
    <w:rsid w:val="0097754D"/>
    <w:rsid w:val="0098159C"/>
    <w:rsid w:val="00996A7D"/>
    <w:rsid w:val="009B0E01"/>
    <w:rsid w:val="009F11B5"/>
    <w:rsid w:val="00A130B5"/>
    <w:rsid w:val="00A251F1"/>
    <w:rsid w:val="00A35A7B"/>
    <w:rsid w:val="00A36DEC"/>
    <w:rsid w:val="00A87FE0"/>
    <w:rsid w:val="00A90738"/>
    <w:rsid w:val="00AA1DC4"/>
    <w:rsid w:val="00AA3215"/>
    <w:rsid w:val="00AA7D06"/>
    <w:rsid w:val="00AC41E6"/>
    <w:rsid w:val="00AC4B14"/>
    <w:rsid w:val="00AE0BD2"/>
    <w:rsid w:val="00AE48F0"/>
    <w:rsid w:val="00AF0839"/>
    <w:rsid w:val="00AF4B6B"/>
    <w:rsid w:val="00AF561F"/>
    <w:rsid w:val="00B03F4E"/>
    <w:rsid w:val="00B04BC0"/>
    <w:rsid w:val="00B16D8D"/>
    <w:rsid w:val="00B2427A"/>
    <w:rsid w:val="00B26995"/>
    <w:rsid w:val="00B37ACF"/>
    <w:rsid w:val="00B9569C"/>
    <w:rsid w:val="00B95E75"/>
    <w:rsid w:val="00BA4D99"/>
    <w:rsid w:val="00BC47D7"/>
    <w:rsid w:val="00BC4B62"/>
    <w:rsid w:val="00BC4E4D"/>
    <w:rsid w:val="00BC7F50"/>
    <w:rsid w:val="00BD24D0"/>
    <w:rsid w:val="00BD6437"/>
    <w:rsid w:val="00BE28BB"/>
    <w:rsid w:val="00C254D1"/>
    <w:rsid w:val="00C26C61"/>
    <w:rsid w:val="00C71912"/>
    <w:rsid w:val="00C7619C"/>
    <w:rsid w:val="00CA3AEF"/>
    <w:rsid w:val="00CB2211"/>
    <w:rsid w:val="00CC55C7"/>
    <w:rsid w:val="00CD437C"/>
    <w:rsid w:val="00CE3B6F"/>
    <w:rsid w:val="00CE4BD4"/>
    <w:rsid w:val="00CF58CF"/>
    <w:rsid w:val="00D15B24"/>
    <w:rsid w:val="00D26E22"/>
    <w:rsid w:val="00D34E6F"/>
    <w:rsid w:val="00D9303D"/>
    <w:rsid w:val="00D93064"/>
    <w:rsid w:val="00D9758C"/>
    <w:rsid w:val="00DF11BA"/>
    <w:rsid w:val="00E2663D"/>
    <w:rsid w:val="00E26F91"/>
    <w:rsid w:val="00E2790E"/>
    <w:rsid w:val="00E348C3"/>
    <w:rsid w:val="00E47A27"/>
    <w:rsid w:val="00E6257A"/>
    <w:rsid w:val="00E65628"/>
    <w:rsid w:val="00E75190"/>
    <w:rsid w:val="00E8017E"/>
    <w:rsid w:val="00E9623C"/>
    <w:rsid w:val="00EB0E1B"/>
    <w:rsid w:val="00ED632A"/>
    <w:rsid w:val="00EE49A4"/>
    <w:rsid w:val="00F05FCB"/>
    <w:rsid w:val="00F324BB"/>
    <w:rsid w:val="00F44A68"/>
    <w:rsid w:val="00F95C64"/>
    <w:rsid w:val="00FA3753"/>
    <w:rsid w:val="00FA7B4C"/>
    <w:rsid w:val="00FB04FD"/>
    <w:rsid w:val="00FC64EA"/>
    <w:rsid w:val="00FF5F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5:docId w15:val="{DF8DB917-D886-4D76-9B0A-4B9AD186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16997"/>
    <w:pPr>
      <w:widowControl w:val="0"/>
      <w:suppressAutoHyphens/>
      <w:spacing w:before="113" w:after="113"/>
    </w:pPr>
    <w:rPr>
      <w:rFonts w:ascii="Verdana" w:eastAsia="SimSun" w:hAnsi="Verdana" w:cs="Mangal"/>
      <w:kern w:val="1"/>
      <w:sz w:val="20"/>
      <w:szCs w:val="24"/>
      <w:lang w:val="en-GB" w:eastAsia="hi-IN" w:bidi="hi-IN"/>
    </w:rPr>
  </w:style>
  <w:style w:type="paragraph" w:styleId="Naslov1">
    <w:name w:val="heading 1"/>
    <w:basedOn w:val="Navaden"/>
    <w:next w:val="Navaden"/>
    <w:link w:val="Naslov1Znak"/>
    <w:uiPriority w:val="99"/>
    <w:qFormat/>
    <w:rsid w:val="00465D1B"/>
    <w:pPr>
      <w:keepNext/>
      <w:widowControl/>
      <w:spacing w:before="240" w:after="60"/>
      <w:outlineLvl w:val="0"/>
    </w:pPr>
    <w:rPr>
      <w:b/>
      <w:kern w:val="28"/>
      <w:sz w:val="28"/>
    </w:rPr>
  </w:style>
  <w:style w:type="paragraph" w:styleId="Naslov2">
    <w:name w:val="heading 2"/>
    <w:basedOn w:val="Navaden"/>
    <w:next w:val="Navaden"/>
    <w:link w:val="Naslov2Znak"/>
    <w:uiPriority w:val="99"/>
    <w:qFormat/>
    <w:rsid w:val="00AA7D06"/>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uiPriority w:val="99"/>
    <w:qFormat/>
    <w:rsid w:val="00AA7D06"/>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3F2E1B"/>
    <w:rPr>
      <w:rFonts w:ascii="Cambria" w:hAnsi="Cambria" w:cs="Mangal"/>
      <w:b/>
      <w:bCs/>
      <w:kern w:val="32"/>
      <w:sz w:val="29"/>
      <w:szCs w:val="29"/>
      <w:lang w:val="en-GB" w:eastAsia="hi-IN" w:bidi="hi-IN"/>
    </w:rPr>
  </w:style>
  <w:style w:type="character" w:customStyle="1" w:styleId="Naslov2Znak">
    <w:name w:val="Naslov 2 Znak"/>
    <w:basedOn w:val="Privzetapisavaodstavka"/>
    <w:link w:val="Naslov2"/>
    <w:uiPriority w:val="99"/>
    <w:semiHidden/>
    <w:locked/>
    <w:rsid w:val="003F2E1B"/>
    <w:rPr>
      <w:rFonts w:ascii="Cambria" w:hAnsi="Cambria" w:cs="Mangal"/>
      <w:b/>
      <w:bCs/>
      <w:i/>
      <w:iCs/>
      <w:kern w:val="1"/>
      <w:sz w:val="25"/>
      <w:szCs w:val="25"/>
      <w:lang w:val="en-GB" w:eastAsia="hi-IN" w:bidi="hi-IN"/>
    </w:rPr>
  </w:style>
  <w:style w:type="character" w:customStyle="1" w:styleId="Naslov3Znak">
    <w:name w:val="Naslov 3 Znak"/>
    <w:basedOn w:val="Privzetapisavaodstavka"/>
    <w:link w:val="Naslov3"/>
    <w:uiPriority w:val="99"/>
    <w:semiHidden/>
    <w:locked/>
    <w:rsid w:val="003F2E1B"/>
    <w:rPr>
      <w:rFonts w:ascii="Cambria" w:hAnsi="Cambria" w:cs="Mangal"/>
      <w:b/>
      <w:bCs/>
      <w:kern w:val="1"/>
      <w:sz w:val="23"/>
      <w:szCs w:val="23"/>
      <w:lang w:val="en-GB" w:eastAsia="hi-IN" w:bidi="hi-IN"/>
    </w:rPr>
  </w:style>
  <w:style w:type="paragraph" w:styleId="Glava">
    <w:name w:val="header"/>
    <w:basedOn w:val="Navaden"/>
    <w:link w:val="GlavaZnak"/>
    <w:uiPriority w:val="99"/>
    <w:rsid w:val="00ED632A"/>
    <w:pPr>
      <w:widowControl/>
      <w:tabs>
        <w:tab w:val="center" w:pos="4153"/>
        <w:tab w:val="right" w:pos="8306"/>
      </w:tabs>
      <w:jc w:val="center"/>
    </w:pPr>
    <w:rPr>
      <w:sz w:val="14"/>
    </w:rPr>
  </w:style>
  <w:style w:type="character" w:customStyle="1" w:styleId="GlavaZnak">
    <w:name w:val="Glava Znak"/>
    <w:basedOn w:val="Privzetapisavaodstavka"/>
    <w:link w:val="Glava"/>
    <w:uiPriority w:val="99"/>
    <w:locked/>
    <w:rsid w:val="00ED632A"/>
    <w:rPr>
      <w:rFonts w:ascii="Verdana" w:hAnsi="Verdana" w:cs="Times New Roman"/>
      <w:sz w:val="20"/>
      <w:szCs w:val="20"/>
    </w:rPr>
  </w:style>
  <w:style w:type="paragraph" w:styleId="Noga">
    <w:name w:val="footer"/>
    <w:basedOn w:val="Navaden"/>
    <w:link w:val="NogaZnak"/>
    <w:uiPriority w:val="99"/>
    <w:rsid w:val="00ED632A"/>
    <w:pPr>
      <w:widowControl/>
      <w:tabs>
        <w:tab w:val="center" w:pos="4153"/>
        <w:tab w:val="right" w:pos="8306"/>
      </w:tabs>
    </w:pPr>
    <w:rPr>
      <w:color w:val="000000"/>
      <w:sz w:val="14"/>
      <w:szCs w:val="14"/>
    </w:rPr>
  </w:style>
  <w:style w:type="character" w:customStyle="1" w:styleId="NogaZnak">
    <w:name w:val="Noga Znak"/>
    <w:basedOn w:val="Privzetapisavaodstavka"/>
    <w:link w:val="Noga"/>
    <w:uiPriority w:val="99"/>
    <w:locked/>
    <w:rsid w:val="00ED632A"/>
    <w:rPr>
      <w:rFonts w:ascii="Verdana" w:hAnsi="Verdana" w:cs="Times New Roman"/>
      <w:color w:val="000000"/>
      <w:sz w:val="14"/>
      <w:szCs w:val="14"/>
    </w:rPr>
  </w:style>
  <w:style w:type="character" w:styleId="tevilkastrani">
    <w:name w:val="page number"/>
    <w:basedOn w:val="Privzetapisavaodstavka"/>
    <w:uiPriority w:val="99"/>
    <w:rsid w:val="00ED632A"/>
    <w:rPr>
      <w:rFonts w:cs="Times New Roman"/>
    </w:rPr>
  </w:style>
  <w:style w:type="paragraph" w:styleId="Besedilooblaka">
    <w:name w:val="Balloon Text"/>
    <w:basedOn w:val="Navaden"/>
    <w:link w:val="BesedilooblakaZnak"/>
    <w:uiPriority w:val="99"/>
    <w:semiHidden/>
    <w:rsid w:val="00ED632A"/>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ED632A"/>
    <w:rPr>
      <w:rFonts w:ascii="Tahoma" w:hAnsi="Tahoma" w:cs="Tahoma"/>
      <w:sz w:val="16"/>
      <w:szCs w:val="16"/>
    </w:rPr>
  </w:style>
  <w:style w:type="character" w:styleId="Hiperpovezava">
    <w:name w:val="Hyperlink"/>
    <w:basedOn w:val="Privzetapisavaodstavka"/>
    <w:uiPriority w:val="99"/>
    <w:rsid w:val="00BA4D99"/>
    <w:rPr>
      <w:rFonts w:cs="Times New Roman"/>
      <w:color w:val="0000FF"/>
      <w:u w:val="single"/>
    </w:rPr>
  </w:style>
  <w:style w:type="character" w:styleId="Krepko">
    <w:name w:val="Strong"/>
    <w:basedOn w:val="Privzetapisavaodstavka"/>
    <w:uiPriority w:val="99"/>
    <w:qFormat/>
    <w:rsid w:val="00AC41E6"/>
    <w:rPr>
      <w:rFonts w:cs="Times New Roman"/>
      <w:b/>
      <w:bCs/>
    </w:rPr>
  </w:style>
  <w:style w:type="paragraph" w:styleId="Navadensplet">
    <w:name w:val="Normal (Web)"/>
    <w:basedOn w:val="Navaden"/>
    <w:uiPriority w:val="99"/>
    <w:rsid w:val="00AC41E6"/>
    <w:pPr>
      <w:widowControl/>
      <w:spacing w:before="100" w:beforeAutospacing="1" w:after="100" w:afterAutospacing="1"/>
    </w:pPr>
    <w:rPr>
      <w:lang w:eastAsia="sl-SI"/>
    </w:rPr>
  </w:style>
  <w:style w:type="character" w:customStyle="1" w:styleId="st1">
    <w:name w:val="st1"/>
    <w:basedOn w:val="Privzetapisavaodstavka"/>
    <w:uiPriority w:val="99"/>
    <w:rsid w:val="006037F9"/>
    <w:rPr>
      <w:rFonts w:cs="Times New Roman"/>
    </w:rPr>
  </w:style>
  <w:style w:type="table" w:styleId="Tabelaspletna3">
    <w:name w:val="Table Web 3"/>
    <w:basedOn w:val="Navadnatabela"/>
    <w:uiPriority w:val="99"/>
    <w:rsid w:val="00891695"/>
    <w:pPr>
      <w:jc w:val="both"/>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Poudarek">
    <w:name w:val="Emphasis"/>
    <w:basedOn w:val="Privzetapisavaodstavka"/>
    <w:uiPriority w:val="99"/>
    <w:qFormat/>
    <w:rsid w:val="00AA7D06"/>
    <w:rPr>
      <w:rFonts w:cs="Times New Roman"/>
      <w:i/>
      <w:iCs/>
    </w:rPr>
  </w:style>
  <w:style w:type="character" w:customStyle="1" w:styleId="vsebina1">
    <w:name w:val="vsebina1"/>
    <w:basedOn w:val="Privzetapisavaodstavka"/>
    <w:uiPriority w:val="99"/>
    <w:rsid w:val="00AA7D06"/>
    <w:rPr>
      <w:rFonts w:ascii="Arial" w:hAnsi="Arial" w:cs="Arial"/>
      <w:color w:val="333333"/>
      <w:sz w:val="12"/>
      <w:szCs w:val="12"/>
    </w:rPr>
  </w:style>
  <w:style w:type="paragraph" w:styleId="Odstavekseznama">
    <w:name w:val="List Paragraph"/>
    <w:basedOn w:val="Navaden"/>
    <w:uiPriority w:val="99"/>
    <w:qFormat/>
    <w:rsid w:val="00431114"/>
    <w:pPr>
      <w:ind w:left="720"/>
      <w:contextualSpacing/>
    </w:pPr>
  </w:style>
  <w:style w:type="paragraph" w:styleId="Brezrazmikov">
    <w:name w:val="No Spacing"/>
    <w:link w:val="BrezrazmikovZnak"/>
    <w:uiPriority w:val="99"/>
    <w:qFormat/>
    <w:rsid w:val="007D6AA1"/>
    <w:rPr>
      <w:rFonts w:eastAsia="Times New Roman"/>
    </w:rPr>
  </w:style>
  <w:style w:type="character" w:customStyle="1" w:styleId="BrezrazmikovZnak">
    <w:name w:val="Brez razmikov Znak"/>
    <w:basedOn w:val="Privzetapisavaodstavka"/>
    <w:link w:val="Brezrazmikov"/>
    <w:uiPriority w:val="99"/>
    <w:locked/>
    <w:rsid w:val="007D6AA1"/>
    <w:rPr>
      <w:rFonts w:eastAsia="Times New Roman" w:cs="Times New Roman"/>
      <w:sz w:val="22"/>
      <w:szCs w:val="22"/>
      <w:lang w:val="sl-SI" w:eastAsia="sl-SI" w:bidi="ar-SA"/>
    </w:rPr>
  </w:style>
  <w:style w:type="character" w:styleId="Pripombasklic">
    <w:name w:val="annotation reference"/>
    <w:basedOn w:val="Privzetapisavaodstavka"/>
    <w:uiPriority w:val="99"/>
    <w:semiHidden/>
    <w:rsid w:val="0063014B"/>
    <w:rPr>
      <w:rFonts w:cs="Times New Roman"/>
      <w:sz w:val="16"/>
      <w:szCs w:val="16"/>
    </w:rPr>
  </w:style>
  <w:style w:type="paragraph" w:styleId="Pripombabesedilo">
    <w:name w:val="annotation text"/>
    <w:basedOn w:val="Navaden"/>
    <w:link w:val="PripombabesediloZnak"/>
    <w:uiPriority w:val="99"/>
    <w:semiHidden/>
    <w:rsid w:val="0063014B"/>
    <w:rPr>
      <w:szCs w:val="20"/>
    </w:rPr>
  </w:style>
  <w:style w:type="character" w:customStyle="1" w:styleId="PripombabesediloZnak">
    <w:name w:val="Pripomba – besedilo Znak"/>
    <w:basedOn w:val="Privzetapisavaodstavka"/>
    <w:link w:val="Pripombabesedilo"/>
    <w:uiPriority w:val="99"/>
    <w:semiHidden/>
    <w:locked/>
    <w:rsid w:val="00A251F1"/>
    <w:rPr>
      <w:rFonts w:ascii="Verdana" w:eastAsia="SimSun" w:hAnsi="Verdana" w:cs="Mangal"/>
      <w:kern w:val="1"/>
      <w:sz w:val="18"/>
      <w:szCs w:val="18"/>
      <w:lang w:val="en-GB" w:eastAsia="hi-IN" w:bidi="hi-IN"/>
    </w:rPr>
  </w:style>
  <w:style w:type="paragraph" w:styleId="Zadevapripombe">
    <w:name w:val="annotation subject"/>
    <w:basedOn w:val="Pripombabesedilo"/>
    <w:next w:val="Pripombabesedilo"/>
    <w:link w:val="ZadevapripombeZnak"/>
    <w:uiPriority w:val="99"/>
    <w:semiHidden/>
    <w:rsid w:val="0063014B"/>
    <w:rPr>
      <w:b/>
      <w:bCs/>
    </w:rPr>
  </w:style>
  <w:style w:type="character" w:customStyle="1" w:styleId="ZadevapripombeZnak">
    <w:name w:val="Zadeva pripombe Znak"/>
    <w:basedOn w:val="PripombabesediloZnak"/>
    <w:link w:val="Zadevapripombe"/>
    <w:uiPriority w:val="99"/>
    <w:semiHidden/>
    <w:locked/>
    <w:rsid w:val="00A251F1"/>
    <w:rPr>
      <w:rFonts w:ascii="Verdana" w:eastAsia="SimSun" w:hAnsi="Verdana" w:cs="Mangal"/>
      <w:b/>
      <w:bCs/>
      <w:kern w:val="1"/>
      <w:sz w:val="18"/>
      <w:szCs w:val="18"/>
      <w:lang w:val="en-GB" w:eastAsia="hi-IN" w:bidi="hi-IN"/>
    </w:rPr>
  </w:style>
  <w:style w:type="paragraph" w:styleId="Golobesedilo">
    <w:name w:val="Plain Text"/>
    <w:basedOn w:val="Navaden"/>
    <w:link w:val="GolobesediloZnak"/>
    <w:uiPriority w:val="99"/>
    <w:semiHidden/>
    <w:rsid w:val="00E65628"/>
    <w:pPr>
      <w:widowControl/>
      <w:suppressAutoHyphens w:val="0"/>
      <w:spacing w:before="0" w:after="0"/>
    </w:pPr>
    <w:rPr>
      <w:rFonts w:ascii="Calibri" w:eastAsia="Calibri" w:hAnsi="Calibri" w:cs="Consolas"/>
      <w:kern w:val="0"/>
      <w:sz w:val="22"/>
      <w:szCs w:val="21"/>
      <w:lang w:val="sl-SI" w:eastAsia="en-US" w:bidi="ar-SA"/>
    </w:rPr>
  </w:style>
  <w:style w:type="character" w:customStyle="1" w:styleId="GolobesediloZnak">
    <w:name w:val="Golo besedilo Znak"/>
    <w:basedOn w:val="Privzetapisavaodstavka"/>
    <w:link w:val="Golobesedilo"/>
    <w:uiPriority w:val="99"/>
    <w:semiHidden/>
    <w:locked/>
    <w:rsid w:val="00E65628"/>
    <w:rPr>
      <w:rFonts w:eastAsia="Times New Roman" w:cs="Consolas"/>
      <w:sz w:val="21"/>
      <w:szCs w:val="21"/>
      <w:lang w:eastAsia="en-US"/>
    </w:rPr>
  </w:style>
  <w:style w:type="paragraph" w:styleId="Sprotnaopomba-besedilo">
    <w:name w:val="footnote text"/>
    <w:basedOn w:val="Navaden"/>
    <w:link w:val="Sprotnaopomba-besediloZnak"/>
    <w:uiPriority w:val="99"/>
    <w:semiHidden/>
    <w:rsid w:val="00E47A27"/>
    <w:pPr>
      <w:spacing w:before="0" w:after="0"/>
    </w:pPr>
    <w:rPr>
      <w:szCs w:val="18"/>
    </w:rPr>
  </w:style>
  <w:style w:type="character" w:customStyle="1" w:styleId="Sprotnaopomba-besediloZnak">
    <w:name w:val="Sprotna opomba - besedilo Znak"/>
    <w:basedOn w:val="Privzetapisavaodstavka"/>
    <w:link w:val="Sprotnaopomba-besedilo"/>
    <w:uiPriority w:val="99"/>
    <w:semiHidden/>
    <w:locked/>
    <w:rsid w:val="00E47A27"/>
    <w:rPr>
      <w:rFonts w:ascii="Verdana" w:eastAsia="SimSun" w:hAnsi="Verdana" w:cs="Mangal"/>
      <w:kern w:val="1"/>
      <w:sz w:val="18"/>
      <w:szCs w:val="18"/>
      <w:lang w:val="en-GB" w:eastAsia="hi-IN" w:bidi="hi-IN"/>
    </w:rPr>
  </w:style>
  <w:style w:type="character" w:styleId="Sprotnaopomba-sklic">
    <w:name w:val="footnote reference"/>
    <w:basedOn w:val="Privzetapisavaodstavka"/>
    <w:uiPriority w:val="99"/>
    <w:semiHidden/>
    <w:rsid w:val="00E47A2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99694">
      <w:marLeft w:val="0"/>
      <w:marRight w:val="0"/>
      <w:marTop w:val="0"/>
      <w:marBottom w:val="0"/>
      <w:divBdr>
        <w:top w:val="none" w:sz="0" w:space="0" w:color="auto"/>
        <w:left w:val="none" w:sz="0" w:space="0" w:color="auto"/>
        <w:bottom w:val="none" w:sz="0" w:space="0" w:color="auto"/>
        <w:right w:val="none" w:sz="0" w:space="0" w:color="auto"/>
      </w:divBdr>
    </w:div>
    <w:div w:id="509299696">
      <w:marLeft w:val="0"/>
      <w:marRight w:val="0"/>
      <w:marTop w:val="0"/>
      <w:marBottom w:val="0"/>
      <w:divBdr>
        <w:top w:val="none" w:sz="0" w:space="0" w:color="auto"/>
        <w:left w:val="none" w:sz="0" w:space="0" w:color="auto"/>
        <w:bottom w:val="none" w:sz="0" w:space="0" w:color="auto"/>
        <w:right w:val="none" w:sz="0" w:space="0" w:color="auto"/>
      </w:divBdr>
      <w:divsChild>
        <w:div w:id="509299695">
          <w:marLeft w:val="547"/>
          <w:marRight w:val="0"/>
          <w:marTop w:val="96"/>
          <w:marBottom w:val="0"/>
          <w:divBdr>
            <w:top w:val="none" w:sz="0" w:space="0" w:color="auto"/>
            <w:left w:val="none" w:sz="0" w:space="0" w:color="auto"/>
            <w:bottom w:val="none" w:sz="0" w:space="0" w:color="auto"/>
            <w:right w:val="none" w:sz="0" w:space="0" w:color="auto"/>
          </w:divBdr>
        </w:div>
        <w:div w:id="509299697">
          <w:marLeft w:val="1166"/>
          <w:marRight w:val="0"/>
          <w:marTop w:val="0"/>
          <w:marBottom w:val="0"/>
          <w:divBdr>
            <w:top w:val="none" w:sz="0" w:space="0" w:color="auto"/>
            <w:left w:val="none" w:sz="0" w:space="0" w:color="auto"/>
            <w:bottom w:val="none" w:sz="0" w:space="0" w:color="auto"/>
            <w:right w:val="none" w:sz="0" w:space="0" w:color="auto"/>
          </w:divBdr>
        </w:div>
        <w:div w:id="509299700">
          <w:marLeft w:val="547"/>
          <w:marRight w:val="0"/>
          <w:marTop w:val="96"/>
          <w:marBottom w:val="0"/>
          <w:divBdr>
            <w:top w:val="none" w:sz="0" w:space="0" w:color="auto"/>
            <w:left w:val="none" w:sz="0" w:space="0" w:color="auto"/>
            <w:bottom w:val="none" w:sz="0" w:space="0" w:color="auto"/>
            <w:right w:val="none" w:sz="0" w:space="0" w:color="auto"/>
          </w:divBdr>
        </w:div>
        <w:div w:id="509299701">
          <w:marLeft w:val="547"/>
          <w:marRight w:val="0"/>
          <w:marTop w:val="96"/>
          <w:marBottom w:val="0"/>
          <w:divBdr>
            <w:top w:val="none" w:sz="0" w:space="0" w:color="auto"/>
            <w:left w:val="none" w:sz="0" w:space="0" w:color="auto"/>
            <w:bottom w:val="none" w:sz="0" w:space="0" w:color="auto"/>
            <w:right w:val="none" w:sz="0" w:space="0" w:color="auto"/>
          </w:divBdr>
        </w:div>
        <w:div w:id="509299703">
          <w:marLeft w:val="1166"/>
          <w:marRight w:val="0"/>
          <w:marTop w:val="0"/>
          <w:marBottom w:val="0"/>
          <w:divBdr>
            <w:top w:val="none" w:sz="0" w:space="0" w:color="auto"/>
            <w:left w:val="none" w:sz="0" w:space="0" w:color="auto"/>
            <w:bottom w:val="none" w:sz="0" w:space="0" w:color="auto"/>
            <w:right w:val="none" w:sz="0" w:space="0" w:color="auto"/>
          </w:divBdr>
        </w:div>
        <w:div w:id="509299706">
          <w:marLeft w:val="1166"/>
          <w:marRight w:val="0"/>
          <w:marTop w:val="0"/>
          <w:marBottom w:val="0"/>
          <w:divBdr>
            <w:top w:val="none" w:sz="0" w:space="0" w:color="auto"/>
            <w:left w:val="none" w:sz="0" w:space="0" w:color="auto"/>
            <w:bottom w:val="none" w:sz="0" w:space="0" w:color="auto"/>
            <w:right w:val="none" w:sz="0" w:space="0" w:color="auto"/>
          </w:divBdr>
        </w:div>
      </w:divsChild>
    </w:div>
    <w:div w:id="509299698">
      <w:marLeft w:val="0"/>
      <w:marRight w:val="0"/>
      <w:marTop w:val="0"/>
      <w:marBottom w:val="0"/>
      <w:divBdr>
        <w:top w:val="none" w:sz="0" w:space="0" w:color="auto"/>
        <w:left w:val="none" w:sz="0" w:space="0" w:color="auto"/>
        <w:bottom w:val="none" w:sz="0" w:space="0" w:color="auto"/>
        <w:right w:val="none" w:sz="0" w:space="0" w:color="auto"/>
      </w:divBdr>
    </w:div>
    <w:div w:id="509299699">
      <w:marLeft w:val="0"/>
      <w:marRight w:val="0"/>
      <w:marTop w:val="0"/>
      <w:marBottom w:val="0"/>
      <w:divBdr>
        <w:top w:val="none" w:sz="0" w:space="0" w:color="auto"/>
        <w:left w:val="none" w:sz="0" w:space="0" w:color="auto"/>
        <w:bottom w:val="none" w:sz="0" w:space="0" w:color="auto"/>
        <w:right w:val="none" w:sz="0" w:space="0" w:color="auto"/>
      </w:divBdr>
      <w:divsChild>
        <w:div w:id="509299705">
          <w:marLeft w:val="547"/>
          <w:marRight w:val="0"/>
          <w:marTop w:val="154"/>
          <w:marBottom w:val="0"/>
          <w:divBdr>
            <w:top w:val="none" w:sz="0" w:space="0" w:color="auto"/>
            <w:left w:val="none" w:sz="0" w:space="0" w:color="auto"/>
            <w:bottom w:val="none" w:sz="0" w:space="0" w:color="auto"/>
            <w:right w:val="none" w:sz="0" w:space="0" w:color="auto"/>
          </w:divBdr>
        </w:div>
      </w:divsChild>
    </w:div>
    <w:div w:id="509299702">
      <w:marLeft w:val="0"/>
      <w:marRight w:val="0"/>
      <w:marTop w:val="0"/>
      <w:marBottom w:val="0"/>
      <w:divBdr>
        <w:top w:val="none" w:sz="0" w:space="0" w:color="auto"/>
        <w:left w:val="none" w:sz="0" w:space="0" w:color="auto"/>
        <w:bottom w:val="none" w:sz="0" w:space="0" w:color="auto"/>
        <w:right w:val="none" w:sz="0" w:space="0" w:color="auto"/>
      </w:divBdr>
    </w:div>
    <w:div w:id="509299704">
      <w:marLeft w:val="0"/>
      <w:marRight w:val="0"/>
      <w:marTop w:val="0"/>
      <w:marBottom w:val="0"/>
      <w:divBdr>
        <w:top w:val="none" w:sz="0" w:space="0" w:color="auto"/>
        <w:left w:val="none" w:sz="0" w:space="0" w:color="auto"/>
        <w:bottom w:val="none" w:sz="0" w:space="0" w:color="auto"/>
        <w:right w:val="none" w:sz="0" w:space="0" w:color="auto"/>
      </w:divBdr>
    </w:div>
    <w:div w:id="509299707">
      <w:marLeft w:val="0"/>
      <w:marRight w:val="0"/>
      <w:marTop w:val="0"/>
      <w:marBottom w:val="0"/>
      <w:divBdr>
        <w:top w:val="none" w:sz="0" w:space="0" w:color="auto"/>
        <w:left w:val="none" w:sz="0" w:space="0" w:color="auto"/>
        <w:bottom w:val="none" w:sz="0" w:space="0" w:color="auto"/>
        <w:right w:val="none" w:sz="0" w:space="0" w:color="auto"/>
      </w:divBdr>
      <w:divsChild>
        <w:div w:id="509299731">
          <w:marLeft w:val="0"/>
          <w:marRight w:val="0"/>
          <w:marTop w:val="0"/>
          <w:marBottom w:val="0"/>
          <w:divBdr>
            <w:top w:val="none" w:sz="0" w:space="0" w:color="auto"/>
            <w:left w:val="none" w:sz="0" w:space="0" w:color="auto"/>
            <w:bottom w:val="none" w:sz="0" w:space="0" w:color="auto"/>
            <w:right w:val="none" w:sz="0" w:space="0" w:color="auto"/>
          </w:divBdr>
        </w:div>
      </w:divsChild>
    </w:div>
    <w:div w:id="509299708">
      <w:marLeft w:val="0"/>
      <w:marRight w:val="0"/>
      <w:marTop w:val="0"/>
      <w:marBottom w:val="0"/>
      <w:divBdr>
        <w:top w:val="none" w:sz="0" w:space="0" w:color="auto"/>
        <w:left w:val="none" w:sz="0" w:space="0" w:color="auto"/>
        <w:bottom w:val="none" w:sz="0" w:space="0" w:color="auto"/>
        <w:right w:val="none" w:sz="0" w:space="0" w:color="auto"/>
      </w:divBdr>
    </w:div>
    <w:div w:id="509299710">
      <w:marLeft w:val="0"/>
      <w:marRight w:val="0"/>
      <w:marTop w:val="0"/>
      <w:marBottom w:val="0"/>
      <w:divBdr>
        <w:top w:val="none" w:sz="0" w:space="0" w:color="auto"/>
        <w:left w:val="none" w:sz="0" w:space="0" w:color="auto"/>
        <w:bottom w:val="none" w:sz="0" w:space="0" w:color="auto"/>
        <w:right w:val="none" w:sz="0" w:space="0" w:color="auto"/>
      </w:divBdr>
      <w:divsChild>
        <w:div w:id="509299712">
          <w:marLeft w:val="0"/>
          <w:marRight w:val="0"/>
          <w:marTop w:val="0"/>
          <w:marBottom w:val="0"/>
          <w:divBdr>
            <w:top w:val="none" w:sz="0" w:space="0" w:color="auto"/>
            <w:left w:val="none" w:sz="0" w:space="0" w:color="auto"/>
            <w:bottom w:val="none" w:sz="0" w:space="0" w:color="auto"/>
            <w:right w:val="none" w:sz="0" w:space="0" w:color="auto"/>
          </w:divBdr>
        </w:div>
        <w:div w:id="509299713">
          <w:marLeft w:val="0"/>
          <w:marRight w:val="0"/>
          <w:marTop w:val="0"/>
          <w:marBottom w:val="0"/>
          <w:divBdr>
            <w:top w:val="none" w:sz="0" w:space="0" w:color="auto"/>
            <w:left w:val="none" w:sz="0" w:space="0" w:color="auto"/>
            <w:bottom w:val="none" w:sz="0" w:space="0" w:color="auto"/>
            <w:right w:val="none" w:sz="0" w:space="0" w:color="auto"/>
          </w:divBdr>
        </w:div>
        <w:div w:id="509299714">
          <w:marLeft w:val="0"/>
          <w:marRight w:val="0"/>
          <w:marTop w:val="0"/>
          <w:marBottom w:val="0"/>
          <w:divBdr>
            <w:top w:val="none" w:sz="0" w:space="0" w:color="auto"/>
            <w:left w:val="none" w:sz="0" w:space="0" w:color="auto"/>
            <w:bottom w:val="none" w:sz="0" w:space="0" w:color="auto"/>
            <w:right w:val="none" w:sz="0" w:space="0" w:color="auto"/>
          </w:divBdr>
        </w:div>
        <w:div w:id="509299715">
          <w:marLeft w:val="0"/>
          <w:marRight w:val="0"/>
          <w:marTop w:val="0"/>
          <w:marBottom w:val="0"/>
          <w:divBdr>
            <w:top w:val="none" w:sz="0" w:space="0" w:color="auto"/>
            <w:left w:val="none" w:sz="0" w:space="0" w:color="auto"/>
            <w:bottom w:val="none" w:sz="0" w:space="0" w:color="auto"/>
            <w:right w:val="none" w:sz="0" w:space="0" w:color="auto"/>
          </w:divBdr>
        </w:div>
        <w:div w:id="509299717">
          <w:marLeft w:val="0"/>
          <w:marRight w:val="0"/>
          <w:marTop w:val="0"/>
          <w:marBottom w:val="0"/>
          <w:divBdr>
            <w:top w:val="none" w:sz="0" w:space="0" w:color="auto"/>
            <w:left w:val="none" w:sz="0" w:space="0" w:color="auto"/>
            <w:bottom w:val="none" w:sz="0" w:space="0" w:color="auto"/>
            <w:right w:val="none" w:sz="0" w:space="0" w:color="auto"/>
          </w:divBdr>
        </w:div>
        <w:div w:id="509299718">
          <w:marLeft w:val="0"/>
          <w:marRight w:val="0"/>
          <w:marTop w:val="0"/>
          <w:marBottom w:val="0"/>
          <w:divBdr>
            <w:top w:val="none" w:sz="0" w:space="0" w:color="auto"/>
            <w:left w:val="none" w:sz="0" w:space="0" w:color="auto"/>
            <w:bottom w:val="none" w:sz="0" w:space="0" w:color="auto"/>
            <w:right w:val="none" w:sz="0" w:space="0" w:color="auto"/>
          </w:divBdr>
        </w:div>
        <w:div w:id="509299719">
          <w:marLeft w:val="0"/>
          <w:marRight w:val="0"/>
          <w:marTop w:val="0"/>
          <w:marBottom w:val="0"/>
          <w:divBdr>
            <w:top w:val="none" w:sz="0" w:space="0" w:color="auto"/>
            <w:left w:val="none" w:sz="0" w:space="0" w:color="auto"/>
            <w:bottom w:val="none" w:sz="0" w:space="0" w:color="auto"/>
            <w:right w:val="none" w:sz="0" w:space="0" w:color="auto"/>
          </w:divBdr>
        </w:div>
        <w:div w:id="509299724">
          <w:marLeft w:val="0"/>
          <w:marRight w:val="0"/>
          <w:marTop w:val="0"/>
          <w:marBottom w:val="0"/>
          <w:divBdr>
            <w:top w:val="none" w:sz="0" w:space="0" w:color="auto"/>
            <w:left w:val="none" w:sz="0" w:space="0" w:color="auto"/>
            <w:bottom w:val="none" w:sz="0" w:space="0" w:color="auto"/>
            <w:right w:val="none" w:sz="0" w:space="0" w:color="auto"/>
          </w:divBdr>
        </w:div>
        <w:div w:id="509299727">
          <w:marLeft w:val="0"/>
          <w:marRight w:val="0"/>
          <w:marTop w:val="0"/>
          <w:marBottom w:val="0"/>
          <w:divBdr>
            <w:top w:val="none" w:sz="0" w:space="0" w:color="auto"/>
            <w:left w:val="none" w:sz="0" w:space="0" w:color="auto"/>
            <w:bottom w:val="none" w:sz="0" w:space="0" w:color="auto"/>
            <w:right w:val="none" w:sz="0" w:space="0" w:color="auto"/>
          </w:divBdr>
        </w:div>
        <w:div w:id="509299729">
          <w:marLeft w:val="0"/>
          <w:marRight w:val="0"/>
          <w:marTop w:val="0"/>
          <w:marBottom w:val="0"/>
          <w:divBdr>
            <w:top w:val="none" w:sz="0" w:space="0" w:color="auto"/>
            <w:left w:val="none" w:sz="0" w:space="0" w:color="auto"/>
            <w:bottom w:val="none" w:sz="0" w:space="0" w:color="auto"/>
            <w:right w:val="none" w:sz="0" w:space="0" w:color="auto"/>
          </w:divBdr>
        </w:div>
        <w:div w:id="509299730">
          <w:marLeft w:val="0"/>
          <w:marRight w:val="0"/>
          <w:marTop w:val="0"/>
          <w:marBottom w:val="0"/>
          <w:divBdr>
            <w:top w:val="none" w:sz="0" w:space="0" w:color="auto"/>
            <w:left w:val="none" w:sz="0" w:space="0" w:color="auto"/>
            <w:bottom w:val="none" w:sz="0" w:space="0" w:color="auto"/>
            <w:right w:val="none" w:sz="0" w:space="0" w:color="auto"/>
          </w:divBdr>
        </w:div>
        <w:div w:id="509299733">
          <w:marLeft w:val="0"/>
          <w:marRight w:val="0"/>
          <w:marTop w:val="0"/>
          <w:marBottom w:val="0"/>
          <w:divBdr>
            <w:top w:val="none" w:sz="0" w:space="0" w:color="auto"/>
            <w:left w:val="none" w:sz="0" w:space="0" w:color="auto"/>
            <w:bottom w:val="none" w:sz="0" w:space="0" w:color="auto"/>
            <w:right w:val="none" w:sz="0" w:space="0" w:color="auto"/>
          </w:divBdr>
        </w:div>
        <w:div w:id="509299737">
          <w:marLeft w:val="0"/>
          <w:marRight w:val="0"/>
          <w:marTop w:val="0"/>
          <w:marBottom w:val="0"/>
          <w:divBdr>
            <w:top w:val="none" w:sz="0" w:space="0" w:color="auto"/>
            <w:left w:val="none" w:sz="0" w:space="0" w:color="auto"/>
            <w:bottom w:val="none" w:sz="0" w:space="0" w:color="auto"/>
            <w:right w:val="none" w:sz="0" w:space="0" w:color="auto"/>
          </w:divBdr>
        </w:div>
        <w:div w:id="509299739">
          <w:marLeft w:val="0"/>
          <w:marRight w:val="0"/>
          <w:marTop w:val="0"/>
          <w:marBottom w:val="0"/>
          <w:divBdr>
            <w:top w:val="none" w:sz="0" w:space="0" w:color="auto"/>
            <w:left w:val="none" w:sz="0" w:space="0" w:color="auto"/>
            <w:bottom w:val="none" w:sz="0" w:space="0" w:color="auto"/>
            <w:right w:val="none" w:sz="0" w:space="0" w:color="auto"/>
          </w:divBdr>
        </w:div>
        <w:div w:id="509299741">
          <w:marLeft w:val="0"/>
          <w:marRight w:val="0"/>
          <w:marTop w:val="0"/>
          <w:marBottom w:val="0"/>
          <w:divBdr>
            <w:top w:val="none" w:sz="0" w:space="0" w:color="auto"/>
            <w:left w:val="none" w:sz="0" w:space="0" w:color="auto"/>
            <w:bottom w:val="none" w:sz="0" w:space="0" w:color="auto"/>
            <w:right w:val="none" w:sz="0" w:space="0" w:color="auto"/>
          </w:divBdr>
        </w:div>
        <w:div w:id="509299743">
          <w:marLeft w:val="0"/>
          <w:marRight w:val="0"/>
          <w:marTop w:val="0"/>
          <w:marBottom w:val="0"/>
          <w:divBdr>
            <w:top w:val="none" w:sz="0" w:space="0" w:color="auto"/>
            <w:left w:val="none" w:sz="0" w:space="0" w:color="auto"/>
            <w:bottom w:val="none" w:sz="0" w:space="0" w:color="auto"/>
            <w:right w:val="none" w:sz="0" w:space="0" w:color="auto"/>
          </w:divBdr>
        </w:div>
      </w:divsChild>
    </w:div>
    <w:div w:id="509299711">
      <w:marLeft w:val="0"/>
      <w:marRight w:val="0"/>
      <w:marTop w:val="0"/>
      <w:marBottom w:val="0"/>
      <w:divBdr>
        <w:top w:val="none" w:sz="0" w:space="0" w:color="auto"/>
        <w:left w:val="none" w:sz="0" w:space="0" w:color="auto"/>
        <w:bottom w:val="none" w:sz="0" w:space="0" w:color="auto"/>
        <w:right w:val="none" w:sz="0" w:space="0" w:color="auto"/>
      </w:divBdr>
    </w:div>
    <w:div w:id="509299721">
      <w:marLeft w:val="0"/>
      <w:marRight w:val="0"/>
      <w:marTop w:val="0"/>
      <w:marBottom w:val="0"/>
      <w:divBdr>
        <w:top w:val="none" w:sz="0" w:space="0" w:color="auto"/>
        <w:left w:val="none" w:sz="0" w:space="0" w:color="auto"/>
        <w:bottom w:val="none" w:sz="0" w:space="0" w:color="auto"/>
        <w:right w:val="none" w:sz="0" w:space="0" w:color="auto"/>
      </w:divBdr>
    </w:div>
    <w:div w:id="509299726">
      <w:marLeft w:val="0"/>
      <w:marRight w:val="0"/>
      <w:marTop w:val="0"/>
      <w:marBottom w:val="0"/>
      <w:divBdr>
        <w:top w:val="none" w:sz="0" w:space="0" w:color="auto"/>
        <w:left w:val="none" w:sz="0" w:space="0" w:color="auto"/>
        <w:bottom w:val="none" w:sz="0" w:space="0" w:color="auto"/>
        <w:right w:val="none" w:sz="0" w:space="0" w:color="auto"/>
      </w:divBdr>
      <w:divsChild>
        <w:div w:id="509299716">
          <w:marLeft w:val="0"/>
          <w:marRight w:val="0"/>
          <w:marTop w:val="0"/>
          <w:marBottom w:val="0"/>
          <w:divBdr>
            <w:top w:val="none" w:sz="0" w:space="0" w:color="auto"/>
            <w:left w:val="none" w:sz="0" w:space="0" w:color="auto"/>
            <w:bottom w:val="none" w:sz="0" w:space="0" w:color="auto"/>
            <w:right w:val="none" w:sz="0" w:space="0" w:color="auto"/>
          </w:divBdr>
        </w:div>
      </w:divsChild>
    </w:div>
    <w:div w:id="509299728">
      <w:marLeft w:val="0"/>
      <w:marRight w:val="0"/>
      <w:marTop w:val="0"/>
      <w:marBottom w:val="0"/>
      <w:divBdr>
        <w:top w:val="none" w:sz="0" w:space="0" w:color="auto"/>
        <w:left w:val="none" w:sz="0" w:space="0" w:color="auto"/>
        <w:bottom w:val="none" w:sz="0" w:space="0" w:color="auto"/>
        <w:right w:val="none" w:sz="0" w:space="0" w:color="auto"/>
      </w:divBdr>
      <w:divsChild>
        <w:div w:id="509299734">
          <w:marLeft w:val="0"/>
          <w:marRight w:val="0"/>
          <w:marTop w:val="0"/>
          <w:marBottom w:val="0"/>
          <w:divBdr>
            <w:top w:val="none" w:sz="0" w:space="0" w:color="auto"/>
            <w:left w:val="none" w:sz="0" w:space="0" w:color="auto"/>
            <w:bottom w:val="none" w:sz="0" w:space="0" w:color="auto"/>
            <w:right w:val="none" w:sz="0" w:space="0" w:color="auto"/>
          </w:divBdr>
        </w:div>
      </w:divsChild>
    </w:div>
    <w:div w:id="509299736">
      <w:marLeft w:val="0"/>
      <w:marRight w:val="0"/>
      <w:marTop w:val="0"/>
      <w:marBottom w:val="0"/>
      <w:divBdr>
        <w:top w:val="none" w:sz="0" w:space="0" w:color="auto"/>
        <w:left w:val="none" w:sz="0" w:space="0" w:color="auto"/>
        <w:bottom w:val="none" w:sz="0" w:space="0" w:color="auto"/>
        <w:right w:val="none" w:sz="0" w:space="0" w:color="auto"/>
      </w:divBdr>
      <w:divsChild>
        <w:div w:id="509299709">
          <w:marLeft w:val="0"/>
          <w:marRight w:val="0"/>
          <w:marTop w:val="0"/>
          <w:marBottom w:val="0"/>
          <w:divBdr>
            <w:top w:val="none" w:sz="0" w:space="0" w:color="auto"/>
            <w:left w:val="none" w:sz="0" w:space="0" w:color="auto"/>
            <w:bottom w:val="none" w:sz="0" w:space="0" w:color="auto"/>
            <w:right w:val="none" w:sz="0" w:space="0" w:color="auto"/>
          </w:divBdr>
        </w:div>
        <w:div w:id="509299720">
          <w:marLeft w:val="0"/>
          <w:marRight w:val="0"/>
          <w:marTop w:val="0"/>
          <w:marBottom w:val="0"/>
          <w:divBdr>
            <w:top w:val="none" w:sz="0" w:space="0" w:color="auto"/>
            <w:left w:val="none" w:sz="0" w:space="0" w:color="auto"/>
            <w:bottom w:val="none" w:sz="0" w:space="0" w:color="auto"/>
            <w:right w:val="none" w:sz="0" w:space="0" w:color="auto"/>
          </w:divBdr>
        </w:div>
        <w:div w:id="509299722">
          <w:marLeft w:val="0"/>
          <w:marRight w:val="0"/>
          <w:marTop w:val="0"/>
          <w:marBottom w:val="0"/>
          <w:divBdr>
            <w:top w:val="none" w:sz="0" w:space="0" w:color="auto"/>
            <w:left w:val="none" w:sz="0" w:space="0" w:color="auto"/>
            <w:bottom w:val="none" w:sz="0" w:space="0" w:color="auto"/>
            <w:right w:val="none" w:sz="0" w:space="0" w:color="auto"/>
          </w:divBdr>
        </w:div>
        <w:div w:id="509299723">
          <w:marLeft w:val="0"/>
          <w:marRight w:val="0"/>
          <w:marTop w:val="0"/>
          <w:marBottom w:val="0"/>
          <w:divBdr>
            <w:top w:val="none" w:sz="0" w:space="0" w:color="auto"/>
            <w:left w:val="none" w:sz="0" w:space="0" w:color="auto"/>
            <w:bottom w:val="none" w:sz="0" w:space="0" w:color="auto"/>
            <w:right w:val="none" w:sz="0" w:space="0" w:color="auto"/>
          </w:divBdr>
        </w:div>
        <w:div w:id="509299725">
          <w:marLeft w:val="0"/>
          <w:marRight w:val="0"/>
          <w:marTop w:val="0"/>
          <w:marBottom w:val="0"/>
          <w:divBdr>
            <w:top w:val="none" w:sz="0" w:space="0" w:color="auto"/>
            <w:left w:val="none" w:sz="0" w:space="0" w:color="auto"/>
            <w:bottom w:val="none" w:sz="0" w:space="0" w:color="auto"/>
            <w:right w:val="none" w:sz="0" w:space="0" w:color="auto"/>
          </w:divBdr>
        </w:div>
        <w:div w:id="509299732">
          <w:marLeft w:val="0"/>
          <w:marRight w:val="0"/>
          <w:marTop w:val="0"/>
          <w:marBottom w:val="0"/>
          <w:divBdr>
            <w:top w:val="none" w:sz="0" w:space="0" w:color="auto"/>
            <w:left w:val="none" w:sz="0" w:space="0" w:color="auto"/>
            <w:bottom w:val="none" w:sz="0" w:space="0" w:color="auto"/>
            <w:right w:val="none" w:sz="0" w:space="0" w:color="auto"/>
          </w:divBdr>
        </w:div>
        <w:div w:id="509299740">
          <w:marLeft w:val="0"/>
          <w:marRight w:val="0"/>
          <w:marTop w:val="0"/>
          <w:marBottom w:val="0"/>
          <w:divBdr>
            <w:top w:val="none" w:sz="0" w:space="0" w:color="auto"/>
            <w:left w:val="none" w:sz="0" w:space="0" w:color="auto"/>
            <w:bottom w:val="none" w:sz="0" w:space="0" w:color="auto"/>
            <w:right w:val="none" w:sz="0" w:space="0" w:color="auto"/>
          </w:divBdr>
        </w:div>
      </w:divsChild>
    </w:div>
    <w:div w:id="509299738">
      <w:marLeft w:val="0"/>
      <w:marRight w:val="0"/>
      <w:marTop w:val="0"/>
      <w:marBottom w:val="0"/>
      <w:divBdr>
        <w:top w:val="none" w:sz="0" w:space="0" w:color="auto"/>
        <w:left w:val="none" w:sz="0" w:space="0" w:color="auto"/>
        <w:bottom w:val="none" w:sz="0" w:space="0" w:color="auto"/>
        <w:right w:val="none" w:sz="0" w:space="0" w:color="auto"/>
      </w:divBdr>
    </w:div>
    <w:div w:id="509299742">
      <w:marLeft w:val="0"/>
      <w:marRight w:val="0"/>
      <w:marTop w:val="0"/>
      <w:marBottom w:val="0"/>
      <w:divBdr>
        <w:top w:val="none" w:sz="0" w:space="0" w:color="auto"/>
        <w:left w:val="none" w:sz="0" w:space="0" w:color="auto"/>
        <w:bottom w:val="none" w:sz="0" w:space="0" w:color="auto"/>
        <w:right w:val="none" w:sz="0" w:space="0" w:color="auto"/>
      </w:divBdr>
    </w:div>
    <w:div w:id="509299744">
      <w:marLeft w:val="0"/>
      <w:marRight w:val="0"/>
      <w:marTop w:val="0"/>
      <w:marBottom w:val="0"/>
      <w:divBdr>
        <w:top w:val="none" w:sz="0" w:space="0" w:color="auto"/>
        <w:left w:val="none" w:sz="0" w:space="0" w:color="auto"/>
        <w:bottom w:val="none" w:sz="0" w:space="0" w:color="auto"/>
        <w:right w:val="none" w:sz="0" w:space="0" w:color="auto"/>
      </w:divBdr>
      <w:divsChild>
        <w:div w:id="509299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arl.europa.eu/sides/getDoc.do?type=TA&amp;reference=P7-TA-2012-0136&amp;language=SL&amp;ring=A7-2012-00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bersek\AppData\Roaming\Microsoft\Predloge\GZS%20L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00C145A-DE19-4074-B293-E303D05DF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GZS LC</Template>
  <TotalTime>0</TotalTime>
  <Pages>7</Pages>
  <Words>1925</Words>
  <Characters>10976</Characters>
  <Application>Microsoft Office Word</Application>
  <DocSecurity>4</DocSecurity>
  <Lines>91</Lines>
  <Paragraphs>25</Paragraphs>
  <ScaleCrop>false</ScaleCrop>
  <HeadingPairs>
    <vt:vector size="2" baseType="variant">
      <vt:variant>
        <vt:lpstr>Naslov</vt:lpstr>
      </vt:variant>
      <vt:variant>
        <vt:i4>1</vt:i4>
      </vt:variant>
    </vt:vector>
  </HeadingPairs>
  <TitlesOfParts>
    <vt:vector size="1" baseType="lpstr">
      <vt:lpstr>Vabilo medijem</vt:lpstr>
    </vt:vector>
  </TitlesOfParts>
  <Company/>
  <LinksUpToDate>false</LinksUpToDate>
  <CharactersWithSpaces>12876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Vabilo medijem</dc:title>
  <dc:subject/>
  <dc:creator>aa</dc:creator>
  <cp:keywords/>
  <dc:description/>
  <cp:lastModifiedBy>aa</cp:lastModifiedBy>
  <cp:revision>2</cp:revision>
  <cp:lastPrinted>2014-12-16T12:21:00Z</cp:lastPrinted>
  <dcterms:created xsi:type="dcterms:W3CDTF">2014-12-16T13:23:00Z</dcterms:created>
  <dcterms:modified xsi:type="dcterms:W3CDTF">2014-12-16T13:23:00Z</dcterms:modified>
</cp:coreProperties>
</file>